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C7" w:rsidRDefault="006764C7" w:rsidP="006764C7">
      <w:pPr>
        <w:spacing w:after="0"/>
        <w:jc w:val="center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716D7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МИНИСТЕРСТВО ГРАДОСТРОИТЕЛЬНОЙ ПОЛИТИКИ, ИМУЩЕСТВЕННЫХ И ЗЕМЕЛЬНЫХ ОТНОШЕНИЙ </w:t>
      </w:r>
    </w:p>
    <w:p w:rsidR="006764C7" w:rsidRDefault="006764C7" w:rsidP="00676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16D7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6764C7" w:rsidRDefault="006764C7" w:rsidP="006764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47343F">
      <w:pPr>
        <w:spacing w:after="0" w:line="360" w:lineRule="auto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1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6764C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C011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17EE4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8232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82326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>202</w:t>
      </w:r>
      <w:r w:rsidR="006764C7">
        <w:rPr>
          <w:rFonts w:ascii="Times New Roman" w:hAnsi="Times New Roman" w:cs="Times New Roman"/>
          <w:b/>
          <w:sz w:val="28"/>
          <w:szCs w:val="28"/>
        </w:rPr>
        <w:t>6</w:t>
      </w:r>
      <w:r w:rsidR="001F2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35F91" w:rsidRPr="009F577B" w:rsidRDefault="00235F91" w:rsidP="006764C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>за 1 квартал 202</w:t>
      </w:r>
      <w:r w:rsidR="006764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 xml:space="preserve">подготовлен Министерством </w:t>
      </w:r>
      <w:r w:rsidR="006764C7" w:rsidRPr="006764C7">
        <w:rPr>
          <w:rFonts w:ascii="Times New Roman" w:hAnsi="Times New Roman"/>
          <w:sz w:val="28"/>
          <w:szCs w:val="28"/>
        </w:rPr>
        <w:t xml:space="preserve">градостроительной политики, имущественных и земельных отношений </w:t>
      </w:r>
      <w:r w:rsidR="006764C7">
        <w:rPr>
          <w:rFonts w:ascii="Times New Roman" w:hAnsi="Times New Roman"/>
          <w:sz w:val="28"/>
          <w:szCs w:val="28"/>
        </w:rPr>
        <w:t>К</w:t>
      </w:r>
      <w:r w:rsidR="006764C7" w:rsidRPr="006764C7">
        <w:rPr>
          <w:rFonts w:ascii="Times New Roman" w:hAnsi="Times New Roman"/>
          <w:sz w:val="28"/>
          <w:szCs w:val="28"/>
        </w:rPr>
        <w:t>урской области</w:t>
      </w:r>
      <w:r w:rsidR="006764C7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>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</w:t>
      </w:r>
      <w:proofErr w:type="gramEnd"/>
      <w:r w:rsidRPr="009F577B">
        <w:rPr>
          <w:rFonts w:ascii="Times New Roman" w:hAnsi="Times New Roman"/>
          <w:color w:val="000000"/>
          <w:sz w:val="28"/>
          <w:szCs w:val="28"/>
        </w:rPr>
        <w:t xml:space="preserve"> муниципальных нуж</w:t>
      </w:r>
      <w:r w:rsidR="001F2101">
        <w:rPr>
          <w:rFonts w:ascii="Times New Roman" w:hAnsi="Times New Roman"/>
          <w:color w:val="000000"/>
          <w:sz w:val="28"/>
          <w:szCs w:val="28"/>
        </w:rPr>
        <w:t xml:space="preserve">д» (далее – Федеральный закон № </w:t>
      </w:r>
      <w:r w:rsidRPr="009F577B">
        <w:rPr>
          <w:rFonts w:ascii="Times New Roman" w:hAnsi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п.3 Постановления №430-па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BD2E74" w:rsidRPr="009508D4" w:rsidRDefault="00BD2E7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2A8" w:rsidRPr="00235F91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235F91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235F9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235F91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235F91">
        <w:rPr>
          <w:rFonts w:ascii="Times New Roman" w:hAnsi="Times New Roman" w:cs="Times New Roman"/>
          <w:sz w:val="28"/>
          <w:szCs w:val="28"/>
        </w:rPr>
        <w:t>ого</w:t>
      </w:r>
      <w:r w:rsidR="00AD412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235F91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235F91">
        <w:rPr>
          <w:rFonts w:ascii="Times New Roman" w:hAnsi="Times New Roman" w:cs="Times New Roman"/>
          <w:sz w:val="28"/>
          <w:szCs w:val="28"/>
        </w:rPr>
        <w:t>)</w:t>
      </w:r>
      <w:r w:rsidR="00A51DC7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235F91">
        <w:rPr>
          <w:rFonts w:ascii="Times New Roman" w:hAnsi="Times New Roman" w:cs="Times New Roman"/>
          <w:sz w:val="28"/>
          <w:szCs w:val="28"/>
        </w:rPr>
        <w:t>в</w:t>
      </w:r>
      <w:r w:rsidR="005B62D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35F91">
        <w:rPr>
          <w:rFonts w:ascii="Times New Roman" w:hAnsi="Times New Roman" w:cs="Times New Roman"/>
          <w:sz w:val="28"/>
          <w:szCs w:val="28"/>
        </w:rPr>
        <w:t>1</w:t>
      </w:r>
      <w:r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235F91">
        <w:rPr>
          <w:rFonts w:ascii="Times New Roman" w:hAnsi="Times New Roman" w:cs="Times New Roman"/>
          <w:sz w:val="28"/>
          <w:szCs w:val="28"/>
        </w:rPr>
        <w:t>2</w:t>
      </w:r>
      <w:r w:rsidR="006764C7">
        <w:rPr>
          <w:rFonts w:ascii="Times New Roman" w:hAnsi="Times New Roman" w:cs="Times New Roman"/>
          <w:sz w:val="28"/>
          <w:szCs w:val="28"/>
        </w:rPr>
        <w:t>6</w:t>
      </w:r>
      <w:r w:rsid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E27024">
        <w:rPr>
          <w:rFonts w:ascii="Times New Roman" w:hAnsi="Times New Roman" w:cs="Times New Roman"/>
          <w:sz w:val="28"/>
          <w:szCs w:val="28"/>
        </w:rPr>
        <w:t>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FF03FC">
        <w:rPr>
          <w:rFonts w:ascii="Times New Roman" w:hAnsi="Times New Roman" w:cs="Times New Roman"/>
          <w:sz w:val="28"/>
          <w:szCs w:val="28"/>
        </w:rPr>
        <w:t>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b/>
          <w:sz w:val="28"/>
          <w:szCs w:val="28"/>
        </w:rPr>
        <w:t>3 </w:t>
      </w:r>
      <w:r w:rsidR="00107D82" w:rsidRPr="00107D82">
        <w:rPr>
          <w:rFonts w:ascii="Times New Roman" w:hAnsi="Times New Roman" w:cs="Times New Roman"/>
          <w:b/>
          <w:sz w:val="28"/>
          <w:szCs w:val="28"/>
        </w:rPr>
        <w:t>307</w:t>
      </w:r>
      <w:r w:rsidR="008D7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235F91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E600D3" w:rsidRPr="00235F91">
        <w:rPr>
          <w:rFonts w:ascii="Times New Roman" w:hAnsi="Times New Roman" w:cs="Times New Roman"/>
          <w:b/>
          <w:sz w:val="28"/>
          <w:szCs w:val="28"/>
        </w:rPr>
        <w:t>й</w:t>
      </w:r>
      <w:r w:rsidR="003431D4" w:rsidRPr="00235F9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B1AF2">
        <w:rPr>
          <w:rFonts w:ascii="Times New Roman" w:hAnsi="Times New Roman" w:cs="Times New Roman"/>
          <w:b/>
          <w:sz w:val="28"/>
          <w:szCs w:val="28"/>
        </w:rPr>
        <w:t>15 504,61</w:t>
      </w:r>
      <w:r w:rsidR="00517749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235F91">
        <w:rPr>
          <w:rFonts w:ascii="Times New Roman" w:hAnsi="Times New Roman" w:cs="Times New Roman"/>
          <w:sz w:val="28"/>
          <w:szCs w:val="28"/>
        </w:rPr>
        <w:t>.</w:t>
      </w:r>
      <w:r w:rsidR="00382084" w:rsidRPr="00235F91">
        <w:rPr>
          <w:rFonts w:ascii="Times New Roman" w:hAnsi="Times New Roman" w:cs="Times New Roman"/>
          <w:sz w:val="28"/>
          <w:szCs w:val="28"/>
        </w:rPr>
        <w:t>,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235F91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235F91">
        <w:rPr>
          <w:rFonts w:ascii="Times New Roman" w:hAnsi="Times New Roman" w:cs="Times New Roman"/>
          <w:sz w:val="28"/>
          <w:szCs w:val="28"/>
        </w:rPr>
        <w:t>:</w:t>
      </w:r>
    </w:p>
    <w:p w:rsidR="00D306C5" w:rsidRPr="008D7BD0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ab/>
      </w:r>
      <w:r w:rsidRPr="00235F91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4C7">
        <w:rPr>
          <w:rFonts w:ascii="Times New Roman" w:hAnsi="Times New Roman" w:cs="Times New Roman"/>
          <w:b/>
          <w:sz w:val="28"/>
          <w:szCs w:val="28"/>
        </w:rPr>
        <w:t>466</w:t>
      </w:r>
      <w:r w:rsidR="00D306C5" w:rsidRPr="008D7BD0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6764C7">
        <w:rPr>
          <w:rFonts w:ascii="Times New Roman" w:hAnsi="Times New Roman" w:cs="Times New Roman"/>
          <w:b/>
          <w:sz w:val="28"/>
          <w:szCs w:val="28"/>
        </w:rPr>
        <w:t>й</w:t>
      </w:r>
      <w:r w:rsidR="00203BE1"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8D7BD0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8D7BD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8D7BD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8D7BD0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8D7BD0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6764C7">
        <w:rPr>
          <w:rFonts w:ascii="Times New Roman" w:hAnsi="Times New Roman" w:cs="Times New Roman"/>
          <w:b/>
          <w:sz w:val="28"/>
          <w:szCs w:val="28"/>
        </w:rPr>
        <w:t>85,38</w:t>
      </w:r>
      <w:r w:rsidR="00D306C5" w:rsidRPr="008D7BD0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8D7BD0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8D7BD0">
        <w:rPr>
          <w:rFonts w:ascii="Times New Roman" w:hAnsi="Times New Roman" w:cs="Times New Roman"/>
          <w:sz w:val="28"/>
          <w:szCs w:val="28"/>
        </w:rPr>
        <w:t>;</w:t>
      </w:r>
    </w:p>
    <w:p w:rsidR="00AE4CC5" w:rsidRPr="00235F91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D0">
        <w:rPr>
          <w:rFonts w:ascii="Times New Roman" w:hAnsi="Times New Roman" w:cs="Times New Roman"/>
          <w:sz w:val="28"/>
          <w:szCs w:val="28"/>
        </w:rPr>
        <w:lastRenderedPageBreak/>
        <w:tab/>
        <w:t>–</w:t>
      </w:r>
      <w:r w:rsidR="00CF7BFB"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2B1AF2">
        <w:rPr>
          <w:rFonts w:ascii="Times New Roman" w:hAnsi="Times New Roman" w:cs="Times New Roman"/>
          <w:b/>
          <w:sz w:val="28"/>
          <w:szCs w:val="28"/>
        </w:rPr>
        <w:t xml:space="preserve">239 </w:t>
      </w:r>
      <w:r w:rsidRPr="008D7BD0">
        <w:rPr>
          <w:rFonts w:ascii="Times New Roman" w:hAnsi="Times New Roman" w:cs="Times New Roman"/>
          <w:b/>
          <w:sz w:val="28"/>
          <w:szCs w:val="28"/>
        </w:rPr>
        <w:t>извещений</w:t>
      </w:r>
      <w:r w:rsidR="000F5380" w:rsidRPr="008D7BD0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8D7BD0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8D7BD0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8D7BD0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8D7BD0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2B1AF2">
        <w:rPr>
          <w:rFonts w:ascii="Times New Roman" w:hAnsi="Times New Roman" w:cs="Times New Roman"/>
          <w:b/>
          <w:sz w:val="28"/>
          <w:szCs w:val="28"/>
        </w:rPr>
        <w:t>115,17</w:t>
      </w:r>
      <w:r w:rsidR="00EA7546" w:rsidRPr="008D7BD0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8D7BD0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235F91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526131" w:rsidRPr="00235F91">
        <w:rPr>
          <w:rFonts w:ascii="Times New Roman" w:hAnsi="Times New Roman" w:cs="Times New Roman"/>
          <w:b/>
          <w:sz w:val="28"/>
          <w:szCs w:val="28"/>
        </w:rPr>
        <w:t>2</w:t>
      </w:r>
      <w:r w:rsidR="0080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AF2">
        <w:rPr>
          <w:rFonts w:ascii="Times New Roman" w:hAnsi="Times New Roman" w:cs="Times New Roman"/>
          <w:b/>
          <w:sz w:val="28"/>
          <w:szCs w:val="28"/>
        </w:rPr>
        <w:t>602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802AA8">
        <w:rPr>
          <w:rFonts w:ascii="Times New Roman" w:hAnsi="Times New Roman" w:cs="Times New Roman"/>
          <w:b/>
          <w:sz w:val="28"/>
          <w:szCs w:val="28"/>
        </w:rPr>
        <w:t>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B1AF2">
        <w:rPr>
          <w:rFonts w:ascii="Times New Roman" w:hAnsi="Times New Roman" w:cs="Times New Roman"/>
          <w:b/>
          <w:sz w:val="28"/>
          <w:szCs w:val="28"/>
        </w:rPr>
        <w:t>15 304,06</w:t>
      </w:r>
      <w:r w:rsidR="00BE365F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235F91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235F91">
        <w:rPr>
          <w:rFonts w:ascii="Times New Roman" w:hAnsi="Times New Roman" w:cs="Times New Roman"/>
          <w:sz w:val="28"/>
          <w:szCs w:val="28"/>
        </w:rPr>
        <w:t>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235F91">
        <w:rPr>
          <w:rFonts w:ascii="Times New Roman" w:hAnsi="Times New Roman" w:cs="Times New Roman"/>
          <w:sz w:val="28"/>
          <w:szCs w:val="28"/>
        </w:rPr>
        <w:t>.</w:t>
      </w:r>
    </w:p>
    <w:p w:rsidR="009B0A16" w:rsidRPr="00235F91" w:rsidRDefault="0077475D" w:rsidP="008232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sz w:val="28"/>
          <w:szCs w:val="28"/>
        </w:rPr>
        <w:t>1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2B1AF2">
        <w:rPr>
          <w:rFonts w:ascii="Times New Roman" w:hAnsi="Times New Roman" w:cs="Times New Roman"/>
          <w:sz w:val="28"/>
          <w:szCs w:val="28"/>
        </w:rPr>
        <w:t>6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</w:t>
      </w:r>
      <w:r w:rsidR="00107D82" w:rsidRPr="00107D82">
        <w:t xml:space="preserve"> </w:t>
      </w:r>
      <w:r w:rsidR="00107D82">
        <w:rPr>
          <w:rFonts w:ascii="Times New Roman" w:hAnsi="Times New Roman" w:cs="Times New Roman"/>
          <w:sz w:val="28"/>
          <w:szCs w:val="28"/>
        </w:rPr>
        <w:t xml:space="preserve">конкурентными способами 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–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  <w:r w:rsidR="00823265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9B0A16" w:rsidRPr="00235F91">
        <w:rPr>
          <w:rFonts w:ascii="Times New Roman" w:hAnsi="Times New Roman" w:cs="Times New Roman"/>
          <w:sz w:val="28"/>
          <w:szCs w:val="28"/>
        </w:rPr>
        <w:t xml:space="preserve"> поставщика (подрядчика, исполнителя) в большинстве случаев проводились на </w:t>
      </w:r>
      <w:r w:rsidR="00802AA8" w:rsidRPr="00235F91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9B0A16" w:rsidRPr="00235F91">
        <w:rPr>
          <w:rFonts w:ascii="Times New Roman" w:hAnsi="Times New Roman" w:cs="Times New Roman"/>
          <w:sz w:val="28"/>
          <w:szCs w:val="28"/>
        </w:rPr>
        <w:t xml:space="preserve">площадках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="009B0A16"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r w:rsidR="00A064C3">
        <w:rPr>
          <w:rFonts w:ascii="Times New Roman" w:hAnsi="Times New Roman" w:cs="Times New Roman"/>
          <w:sz w:val="28"/>
          <w:szCs w:val="28"/>
        </w:rPr>
        <w:t>ЭТП «Фабрикант», «ЭТП «ГПБ», ЭТП «РТС-тендер».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235F91" w:rsidRDefault="00107D82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E74">
        <w:rPr>
          <w:rFonts w:ascii="Times New Roman" w:hAnsi="Times New Roman" w:cs="Times New Roman"/>
          <w:b/>
          <w:sz w:val="28"/>
          <w:szCs w:val="28"/>
        </w:rPr>
        <w:t>2120</w:t>
      </w:r>
      <w:r w:rsidR="00A064C3" w:rsidRPr="00BD2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BD2E74">
        <w:rPr>
          <w:rFonts w:ascii="Times New Roman" w:hAnsi="Times New Roman" w:cs="Times New Roman"/>
          <w:b/>
          <w:sz w:val="28"/>
          <w:szCs w:val="28"/>
        </w:rPr>
        <w:t>извещен</w:t>
      </w:r>
      <w:r w:rsidR="00FB14C4" w:rsidRPr="00BD2E74">
        <w:rPr>
          <w:rFonts w:ascii="Times New Roman" w:hAnsi="Times New Roman" w:cs="Times New Roman"/>
          <w:b/>
          <w:sz w:val="28"/>
          <w:szCs w:val="28"/>
        </w:rPr>
        <w:t>и</w:t>
      </w:r>
      <w:r w:rsidRPr="00BD2E74"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BB01E9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107D8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07D82">
        <w:rPr>
          <w:rFonts w:ascii="Times New Roman" w:hAnsi="Times New Roman" w:cs="Times New Roman"/>
          <w:b/>
          <w:sz w:val="28"/>
          <w:szCs w:val="28"/>
        </w:rPr>
        <w:t>721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07D82">
        <w:rPr>
          <w:rFonts w:ascii="Times New Roman" w:hAnsi="Times New Roman" w:cs="Times New Roman"/>
          <w:b/>
          <w:sz w:val="28"/>
          <w:szCs w:val="28"/>
        </w:rPr>
        <w:t>70</w:t>
      </w:r>
      <w:r w:rsidR="002978F9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F03F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235F91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31</w:t>
      </w:r>
      <w:r w:rsidR="00EC2492" w:rsidRPr="00235F91">
        <w:rPr>
          <w:rFonts w:ascii="Times New Roman" w:hAnsi="Times New Roman" w:cs="Times New Roman"/>
          <w:sz w:val="28"/>
          <w:szCs w:val="28"/>
        </w:rPr>
        <w:t>%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235F91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235F91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235F91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235F91">
        <w:rPr>
          <w:rFonts w:ascii="Times New Roman" w:hAnsi="Times New Roman" w:cs="Times New Roman"/>
          <w:sz w:val="28"/>
          <w:szCs w:val="28"/>
        </w:rPr>
        <w:t>;</w:t>
      </w:r>
    </w:p>
    <w:p w:rsidR="00144BAA" w:rsidRPr="00107D82" w:rsidRDefault="00107D82" w:rsidP="00107D8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E74">
        <w:rPr>
          <w:rFonts w:ascii="Times New Roman" w:hAnsi="Times New Roman" w:cs="Times New Roman"/>
          <w:b/>
          <w:sz w:val="28"/>
          <w:szCs w:val="28"/>
        </w:rPr>
        <w:t>82</w:t>
      </w:r>
      <w:r w:rsidR="001E5B10" w:rsidRPr="00BD2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BD2E74">
        <w:rPr>
          <w:rFonts w:ascii="Times New Roman" w:hAnsi="Times New Roman" w:cs="Times New Roman"/>
          <w:b/>
          <w:sz w:val="28"/>
          <w:szCs w:val="28"/>
        </w:rPr>
        <w:t>извещени</w:t>
      </w:r>
      <w:r w:rsidRPr="00BD2E74">
        <w:rPr>
          <w:rFonts w:ascii="Times New Roman" w:hAnsi="Times New Roman" w:cs="Times New Roman"/>
          <w:b/>
          <w:sz w:val="28"/>
          <w:szCs w:val="28"/>
        </w:rPr>
        <w:t>я</w:t>
      </w:r>
      <w:r w:rsidR="00FF03FC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235F91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BB01E9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235F91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107D82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07D82"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>,71</w:t>
      </w:r>
      <w:r w:rsidR="00A0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F03F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66</w:t>
      </w:r>
      <w:r w:rsidR="00A6758D" w:rsidRPr="00235F91">
        <w:rPr>
          <w:rFonts w:ascii="Times New Roman" w:hAnsi="Times New Roman" w:cs="Times New Roman"/>
          <w:sz w:val="28"/>
          <w:szCs w:val="28"/>
        </w:rPr>
        <w:t>%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0110" w:rsidRDefault="00107D82" w:rsidP="00BD2E7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D82">
        <w:rPr>
          <w:rFonts w:ascii="Times New Roman" w:hAnsi="Times New Roman" w:cs="Times New Roman"/>
          <w:b/>
          <w:sz w:val="28"/>
          <w:szCs w:val="28"/>
        </w:rPr>
        <w:t>400</w:t>
      </w:r>
      <w:r w:rsidR="0047343F" w:rsidRPr="00BD2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2F" w:rsidRPr="00BD2E74">
        <w:rPr>
          <w:rFonts w:ascii="Times New Roman" w:hAnsi="Times New Roman" w:cs="Times New Roman"/>
          <w:b/>
          <w:sz w:val="28"/>
          <w:szCs w:val="28"/>
        </w:rPr>
        <w:t>и</w:t>
      </w:r>
      <w:r w:rsidR="0082066D" w:rsidRPr="00BD2E74">
        <w:rPr>
          <w:rFonts w:ascii="Times New Roman" w:hAnsi="Times New Roman" w:cs="Times New Roman"/>
          <w:b/>
          <w:sz w:val="28"/>
          <w:szCs w:val="28"/>
        </w:rPr>
        <w:t>звещени</w:t>
      </w:r>
      <w:r w:rsidRPr="00BD2E74"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BD2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BB01E9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480,65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14" w:rsidRPr="00FF03F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039"/>
        <w:gridCol w:w="2635"/>
        <w:gridCol w:w="2180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47343F" w:rsidP="00107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0E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107D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107D82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2 120</w:t>
            </w:r>
          </w:p>
        </w:tc>
        <w:tc>
          <w:tcPr>
            <w:tcW w:w="2232" w:type="dxa"/>
            <w:vAlign w:val="center"/>
          </w:tcPr>
          <w:p w:rsidR="00ED18BC" w:rsidRPr="00641790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D82">
              <w:rPr>
                <w:rFonts w:ascii="Times New Roman" w:hAnsi="Times New Roman" w:cs="Times New Roman"/>
                <w:b/>
                <w:sz w:val="24"/>
                <w:szCs w:val="24"/>
              </w:rPr>
              <w:t>4 721,70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107D82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2232" w:type="dxa"/>
            <w:vAlign w:val="center"/>
          </w:tcPr>
          <w:p w:rsidR="00ED18BC" w:rsidRPr="00BC0110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2">
              <w:rPr>
                <w:rFonts w:ascii="Times New Roman" w:hAnsi="Times New Roman" w:cs="Times New Roman"/>
                <w:b/>
                <w:sz w:val="24"/>
                <w:szCs w:val="24"/>
              </w:rPr>
              <w:t>10 101,71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107D82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2232" w:type="dxa"/>
            <w:vAlign w:val="center"/>
          </w:tcPr>
          <w:p w:rsidR="00ED18BC" w:rsidRPr="00BC0110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2">
              <w:rPr>
                <w:rFonts w:ascii="Times New Roman" w:hAnsi="Times New Roman" w:cs="Times New Roman"/>
                <w:b/>
                <w:sz w:val="24"/>
                <w:szCs w:val="24"/>
              </w:rPr>
              <w:t>480,65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107D82" w:rsidRDefault="002978F9" w:rsidP="00107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07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602</w:t>
            </w:r>
          </w:p>
        </w:tc>
        <w:tc>
          <w:tcPr>
            <w:tcW w:w="2232" w:type="dxa"/>
            <w:vAlign w:val="center"/>
          </w:tcPr>
          <w:p w:rsidR="004C01E2" w:rsidRPr="00BC0110" w:rsidRDefault="00107D82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15 304,06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1</w:t>
      </w:r>
      <w:r w:rsidR="00BB5073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7B6B79">
        <w:rPr>
          <w:rFonts w:ascii="Times New Roman" w:hAnsi="Times New Roman" w:cs="Times New Roman"/>
          <w:b/>
          <w:sz w:val="28"/>
          <w:szCs w:val="28"/>
        </w:rPr>
        <w:t>6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 xml:space="preserve">(подрядчика,  исполнителя)  являлся 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 доля которого  составила </w:t>
      </w:r>
      <w:r w:rsidR="007B6B79">
        <w:rPr>
          <w:rFonts w:ascii="Times New Roman" w:hAnsi="Times New Roman" w:cs="Times New Roman"/>
          <w:b/>
          <w:sz w:val="28"/>
          <w:szCs w:val="28"/>
        </w:rPr>
        <w:t xml:space="preserve">81,48 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Pr="00235F91">
        <w:rPr>
          <w:rFonts w:ascii="Times New Roman" w:hAnsi="Times New Roman" w:cs="Times New Roman"/>
          <w:sz w:val="28"/>
          <w:szCs w:val="28"/>
        </w:rPr>
        <w:t xml:space="preserve">  от  общего 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35F91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4683" cy="2417197"/>
            <wp:effectExtent l="57150" t="0" r="30867" b="4025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2F" w:rsidRPr="00235F91" w:rsidRDefault="004A35DD" w:rsidP="007B6B79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7B6B79">
        <w:rPr>
          <w:rFonts w:ascii="Times New Roman" w:hAnsi="Times New Roman" w:cs="Times New Roman"/>
          <w:sz w:val="28"/>
          <w:szCs w:val="28"/>
        </w:rPr>
        <w:t>5</w:t>
      </w:r>
      <w:r w:rsidRPr="00235F9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C7DFC">
        <w:rPr>
          <w:rFonts w:ascii="Times New Roman" w:hAnsi="Times New Roman" w:cs="Times New Roman"/>
          <w:sz w:val="28"/>
          <w:szCs w:val="28"/>
          <w:u w:val="single"/>
        </w:rPr>
        <w:t>общее количество размещенных извещений</w:t>
      </w:r>
      <w:r w:rsidRPr="00EC7D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C7DFC">
        <w:rPr>
          <w:rFonts w:ascii="Times New Roman" w:hAnsi="Times New Roman" w:cs="Times New Roman"/>
          <w:sz w:val="28"/>
          <w:szCs w:val="28"/>
          <w:u w:val="single"/>
        </w:rPr>
        <w:t>государственными заказчиками Курской области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EC7DFC">
        <w:rPr>
          <w:rFonts w:ascii="Times New Roman" w:hAnsi="Times New Roman" w:cs="Times New Roman"/>
          <w:i/>
          <w:sz w:val="28"/>
          <w:szCs w:val="28"/>
        </w:rPr>
        <w:t>конкурентными способами определения поставщика (подрядчика, исполнителя)</w:t>
      </w:r>
      <w:r w:rsidR="00F12CF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7B6B79">
        <w:rPr>
          <w:rFonts w:ascii="Times New Roman" w:hAnsi="Times New Roman" w:cs="Times New Roman"/>
          <w:sz w:val="28"/>
          <w:szCs w:val="28"/>
        </w:rPr>
        <w:t>у</w:t>
      </w:r>
      <w:r w:rsidR="00B15414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="00A2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414" w:rsidRPr="007B6B7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B6B79" w:rsidRPr="007B6B79">
        <w:rPr>
          <w:rFonts w:ascii="Times New Roman" w:hAnsi="Times New Roman" w:cs="Times New Roman"/>
          <w:b/>
          <w:sz w:val="28"/>
          <w:szCs w:val="28"/>
        </w:rPr>
        <w:t>128</w:t>
      </w:r>
      <w:r w:rsidRPr="007B6B79">
        <w:rPr>
          <w:rFonts w:ascii="Times New Roman" w:hAnsi="Times New Roman" w:cs="Times New Roman"/>
          <w:b/>
          <w:sz w:val="28"/>
          <w:szCs w:val="28"/>
        </w:rPr>
        <w:t xml:space="preserve"> шт. (</w:t>
      </w:r>
      <w:r w:rsidR="007B6B79" w:rsidRPr="007B6B79">
        <w:rPr>
          <w:rFonts w:ascii="Times New Roman" w:hAnsi="Times New Roman" w:cs="Times New Roman"/>
          <w:b/>
          <w:sz w:val="28"/>
          <w:szCs w:val="28"/>
        </w:rPr>
        <w:t>5,17</w:t>
      </w:r>
      <w:r w:rsidRPr="007B6B79">
        <w:rPr>
          <w:rFonts w:ascii="Times New Roman" w:hAnsi="Times New Roman" w:cs="Times New Roman"/>
          <w:b/>
          <w:sz w:val="28"/>
          <w:szCs w:val="28"/>
        </w:rPr>
        <w:t>%)</w:t>
      </w:r>
      <w:r w:rsidR="007B6B79" w:rsidRPr="007B6B79">
        <w:rPr>
          <w:rFonts w:ascii="Times New Roman" w:hAnsi="Times New Roman" w:cs="Times New Roman"/>
          <w:b/>
          <w:sz w:val="28"/>
          <w:szCs w:val="28"/>
        </w:rPr>
        <w:t>,</w:t>
      </w:r>
      <w:r w:rsidR="00F12CF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BE1E4B" w:rsidRPr="00235F91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235F91">
        <w:rPr>
          <w:rFonts w:ascii="Times New Roman" w:hAnsi="Times New Roman" w:cs="Times New Roman"/>
          <w:b/>
          <w:sz w:val="28"/>
          <w:szCs w:val="28"/>
        </w:rPr>
        <w:t>объем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7B6B79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="00723516">
        <w:rPr>
          <w:rFonts w:ascii="Times New Roman" w:hAnsi="Times New Roman" w:cs="Times New Roman"/>
          <w:b/>
          <w:sz w:val="28"/>
          <w:szCs w:val="28"/>
        </w:rPr>
        <w:t>увеличился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на </w:t>
      </w:r>
      <w:r w:rsidR="007B6B79" w:rsidRPr="007B6B79">
        <w:rPr>
          <w:rFonts w:ascii="Times New Roman" w:hAnsi="Times New Roman" w:cs="Times New Roman"/>
          <w:b/>
          <w:sz w:val="28"/>
          <w:szCs w:val="28"/>
        </w:rPr>
        <w:t xml:space="preserve">2 608,29 </w:t>
      </w:r>
      <w:r w:rsidR="00BD2E74" w:rsidRPr="007B6B79">
        <w:rPr>
          <w:rFonts w:ascii="Times New Roman" w:hAnsi="Times New Roman" w:cs="Times New Roman"/>
          <w:b/>
          <w:sz w:val="28"/>
          <w:szCs w:val="28"/>
        </w:rPr>
        <w:t>млн. руб</w:t>
      </w:r>
      <w:r w:rsidR="00BD2E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6B79" w:rsidRPr="007B6B79">
        <w:rPr>
          <w:rFonts w:ascii="Times New Roman" w:hAnsi="Times New Roman" w:cs="Times New Roman"/>
          <w:b/>
          <w:sz w:val="28"/>
          <w:szCs w:val="28"/>
        </w:rPr>
        <w:t>(20,54%)</w:t>
      </w:r>
      <w:r w:rsidRPr="007B6B79">
        <w:rPr>
          <w:rFonts w:ascii="Times New Roman" w:hAnsi="Times New Roman" w:cs="Times New Roman"/>
          <w:b/>
          <w:sz w:val="28"/>
          <w:szCs w:val="28"/>
        </w:rPr>
        <w:t>.</w:t>
      </w:r>
    </w:p>
    <w:p w:rsidR="00EC7DFC" w:rsidRDefault="00EC7DFC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7D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2969" cy="2435970"/>
            <wp:effectExtent l="19050" t="0" r="26781" b="243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780" w:rsidRPr="00235F91" w:rsidRDefault="00EC7DFC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650F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Pr="00FB650F">
        <w:rPr>
          <w:rFonts w:ascii="Times New Roman" w:hAnsi="Times New Roman" w:cs="Times New Roman"/>
          <w:b/>
          <w:sz w:val="28"/>
          <w:szCs w:val="28"/>
        </w:rPr>
        <w:t xml:space="preserve">конкурентных </w:t>
      </w:r>
      <w:r w:rsidR="00FB650F">
        <w:rPr>
          <w:rFonts w:ascii="Times New Roman" w:hAnsi="Times New Roman" w:cs="Times New Roman"/>
          <w:b/>
          <w:sz w:val="28"/>
          <w:szCs w:val="28"/>
        </w:rPr>
        <w:t>процедур</w:t>
      </w:r>
      <w:r w:rsidRPr="00FB650F">
        <w:rPr>
          <w:rFonts w:ascii="Times New Roman" w:hAnsi="Times New Roman" w:cs="Times New Roman"/>
          <w:sz w:val="28"/>
          <w:szCs w:val="28"/>
        </w:rPr>
        <w:t xml:space="preserve">, размещенных  </w:t>
      </w:r>
      <w:r w:rsidR="00BB1B74" w:rsidRPr="00FB650F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</w:t>
      </w:r>
      <w:r w:rsidR="00BB1B74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930777">
        <w:rPr>
          <w:rFonts w:ascii="Times New Roman" w:hAnsi="Times New Roman" w:cs="Times New Roman"/>
          <w:sz w:val="28"/>
          <w:szCs w:val="28"/>
        </w:rPr>
        <w:t>ана несостоявшаяся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307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581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а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BB1B74"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="00BB1B74" w:rsidRPr="00235F91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="00BB1B74"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B1B74"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="00BB1B74"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BB1B74"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FB650F">
        <w:rPr>
          <w:rFonts w:ascii="Times New Roman" w:hAnsi="Times New Roman" w:cs="Times New Roman"/>
          <w:sz w:val="28"/>
          <w:szCs w:val="28"/>
        </w:rPr>
        <w:t>61,86</w:t>
      </w:r>
      <w:r w:rsidR="00BB1B74"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19"/>
        <w:gridCol w:w="2120"/>
        <w:gridCol w:w="1956"/>
        <w:gridCol w:w="2059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BD4499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</w:p>
        </w:tc>
        <w:tc>
          <w:tcPr>
            <w:tcW w:w="1984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10 110,33</w:t>
            </w:r>
          </w:p>
        </w:tc>
        <w:tc>
          <w:tcPr>
            <w:tcW w:w="2091" w:type="dxa"/>
          </w:tcPr>
          <w:p w:rsidR="006B6E89" w:rsidRPr="00CE0956" w:rsidRDefault="00FB650F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61,86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1984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614,55</w:t>
            </w:r>
          </w:p>
        </w:tc>
        <w:tc>
          <w:tcPr>
            <w:tcW w:w="2091" w:type="dxa"/>
          </w:tcPr>
          <w:p w:rsidR="006B6E89" w:rsidRPr="00CE0956" w:rsidRDefault="00FB650F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32,51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984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483,06</w:t>
            </w:r>
          </w:p>
        </w:tc>
        <w:tc>
          <w:tcPr>
            <w:tcW w:w="2091" w:type="dxa"/>
          </w:tcPr>
          <w:p w:rsidR="006B6E89" w:rsidRPr="00CE0956" w:rsidRDefault="00FB650F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B6E89" w:rsidRPr="00FB650F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334,57</w:t>
            </w:r>
          </w:p>
        </w:tc>
        <w:tc>
          <w:tcPr>
            <w:tcW w:w="2091" w:type="dxa"/>
          </w:tcPr>
          <w:p w:rsidR="006B6E89" w:rsidRPr="00CE0956" w:rsidRDefault="00FB650F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BD4499" w:rsidP="00FB65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6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581</w:t>
            </w:r>
          </w:p>
        </w:tc>
        <w:tc>
          <w:tcPr>
            <w:tcW w:w="1984" w:type="dxa"/>
          </w:tcPr>
          <w:p w:rsidR="00C80253" w:rsidRPr="00BC0110" w:rsidRDefault="00FB650F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11 542,51</w:t>
            </w:r>
          </w:p>
        </w:tc>
        <w:tc>
          <w:tcPr>
            <w:tcW w:w="2091" w:type="dxa"/>
          </w:tcPr>
          <w:p w:rsidR="00C80253" w:rsidRPr="00BC011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В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FB650F">
        <w:rPr>
          <w:rFonts w:ascii="Times New Roman" w:hAnsi="Times New Roman" w:cs="Times New Roman"/>
          <w:b/>
          <w:sz w:val="28"/>
          <w:szCs w:val="28"/>
        </w:rPr>
        <w:t>6</w:t>
      </w:r>
      <w:r w:rsidR="00630D17" w:rsidRPr="0063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конкурентным закупочным процедурам было 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FB650F">
        <w:rPr>
          <w:rFonts w:ascii="Times New Roman" w:hAnsi="Times New Roman" w:cs="Times New Roman"/>
          <w:b/>
          <w:sz w:val="28"/>
          <w:szCs w:val="28"/>
        </w:rPr>
        <w:t>755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2E0469">
        <w:rPr>
          <w:rFonts w:ascii="Times New Roman" w:hAnsi="Times New Roman" w:cs="Times New Roman"/>
          <w:b/>
          <w:sz w:val="28"/>
          <w:szCs w:val="28"/>
        </w:rPr>
        <w:t>ок</w:t>
      </w:r>
      <w:r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>4</w:t>
      </w:r>
      <w:r w:rsidR="00D62CFC">
        <w:rPr>
          <w:rFonts w:ascii="Times New Roman" w:hAnsi="Times New Roman" w:cs="Times New Roman"/>
          <w:b/>
          <w:sz w:val="28"/>
          <w:szCs w:val="28"/>
        </w:rPr>
        <w:t> </w:t>
      </w:r>
      <w:r w:rsidR="00FB650F">
        <w:rPr>
          <w:rFonts w:ascii="Times New Roman" w:hAnsi="Times New Roman" w:cs="Times New Roman"/>
          <w:b/>
          <w:sz w:val="28"/>
          <w:szCs w:val="28"/>
        </w:rPr>
        <w:t>482</w:t>
      </w:r>
      <w:r w:rsidR="00D62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50F">
        <w:rPr>
          <w:rFonts w:ascii="Times New Roman" w:hAnsi="Times New Roman" w:cs="Times New Roman"/>
          <w:b/>
          <w:sz w:val="28"/>
          <w:szCs w:val="28"/>
        </w:rPr>
        <w:t>заявки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C5BA5" w:rsidRPr="0021332B">
        <w:rPr>
          <w:rFonts w:ascii="Times New Roman" w:hAnsi="Times New Roman" w:cs="Times New Roman"/>
          <w:b/>
          <w:sz w:val="28"/>
          <w:szCs w:val="28"/>
        </w:rPr>
        <w:t>9</w:t>
      </w:r>
      <w:r w:rsidR="00FB650F">
        <w:rPr>
          <w:rFonts w:ascii="Times New Roman" w:hAnsi="Times New Roman" w:cs="Times New Roman"/>
          <w:b/>
          <w:sz w:val="28"/>
          <w:szCs w:val="28"/>
        </w:rPr>
        <w:t>4,26</w:t>
      </w:r>
      <w:r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6105" cy="2496709"/>
            <wp:effectExtent l="19050" t="0" r="2084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3265" w:rsidRDefault="00823265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Количество</w:t>
      </w:r>
      <w:r w:rsidR="00D62CFC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23265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235F91">
        <w:rPr>
          <w:rFonts w:ascii="Times New Roman" w:hAnsi="Times New Roman" w:cs="Times New Roman"/>
          <w:sz w:val="28"/>
          <w:szCs w:val="28"/>
        </w:rPr>
        <w:t>процедур закупок</w:t>
      </w:r>
      <w:r w:rsidR="00404CB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1332B" w:rsidRPr="0021332B">
        <w:rPr>
          <w:rFonts w:ascii="Times New Roman" w:hAnsi="Times New Roman" w:cs="Times New Roman"/>
          <w:b/>
          <w:sz w:val="28"/>
          <w:szCs w:val="28"/>
        </w:rPr>
        <w:t>1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823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</w:t>
      </w:r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подано </w:t>
      </w:r>
      <w:proofErr w:type="gramStart"/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заявки,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235F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823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053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шт</w:t>
      </w:r>
      <w:r w:rsidRPr="0021332B">
        <w:rPr>
          <w:rFonts w:ascii="Times New Roman" w:hAnsi="Times New Roman" w:cs="Times New Roman"/>
          <w:b/>
          <w:sz w:val="28"/>
          <w:szCs w:val="28"/>
        </w:rPr>
        <w:t>. (</w:t>
      </w:r>
      <w:r w:rsidR="00DF310A">
        <w:rPr>
          <w:rFonts w:ascii="Times New Roman" w:hAnsi="Times New Roman" w:cs="Times New Roman"/>
          <w:b/>
          <w:sz w:val="28"/>
          <w:szCs w:val="28"/>
        </w:rPr>
        <w:t>4</w:t>
      </w:r>
      <w:r w:rsidR="00DF310A" w:rsidRPr="00DF310A">
        <w:rPr>
          <w:rFonts w:ascii="Times New Roman" w:hAnsi="Times New Roman" w:cs="Times New Roman"/>
          <w:b/>
          <w:sz w:val="28"/>
          <w:szCs w:val="28"/>
        </w:rPr>
        <w:t>0</w:t>
      </w:r>
      <w:r w:rsidR="00823265">
        <w:rPr>
          <w:rFonts w:ascii="Times New Roman" w:hAnsi="Times New Roman" w:cs="Times New Roman"/>
          <w:b/>
          <w:sz w:val="28"/>
          <w:szCs w:val="28"/>
        </w:rPr>
        <w:t>,47</w:t>
      </w:r>
      <w:r w:rsidRPr="0021332B">
        <w:rPr>
          <w:rFonts w:ascii="Times New Roman" w:hAnsi="Times New Roman" w:cs="Times New Roman"/>
          <w:b/>
          <w:sz w:val="28"/>
          <w:szCs w:val="28"/>
        </w:rPr>
        <w:t>%)</w:t>
      </w:r>
      <w:r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Среднее количество поданных заявок на </w:t>
      </w:r>
      <w:r w:rsidR="00823265">
        <w:rPr>
          <w:rFonts w:ascii="Times New Roman" w:hAnsi="Times New Roman" w:cs="Times New Roman"/>
          <w:sz w:val="28"/>
          <w:szCs w:val="28"/>
        </w:rPr>
        <w:t xml:space="preserve">участие в конкурентной закупке по данным ЕИС </w:t>
      </w: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1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823265">
        <w:rPr>
          <w:rFonts w:ascii="Times New Roman" w:hAnsi="Times New Roman" w:cs="Times New Roman"/>
          <w:b/>
          <w:sz w:val="28"/>
          <w:szCs w:val="28"/>
        </w:rPr>
        <w:t>6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F310A" w:rsidRPr="00DF310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заявки</w:t>
      </w:r>
      <w:r w:rsidR="00DF310A">
        <w:rPr>
          <w:rFonts w:ascii="Times New Roman" w:hAnsi="Times New Roman" w:cs="Times New Roman"/>
          <w:sz w:val="28"/>
          <w:szCs w:val="28"/>
        </w:rPr>
        <w:t>.</w:t>
      </w:r>
    </w:p>
    <w:p w:rsidR="00DC4B19" w:rsidRPr="00235F91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65DF4" w:rsidRDefault="00365DF4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65DF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8D4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3A16E0">
        <w:rPr>
          <w:rFonts w:ascii="Times New Roman" w:hAnsi="Times New Roman" w:cs="Times New Roman"/>
          <w:b/>
          <w:sz w:val="28"/>
          <w:szCs w:val="28"/>
        </w:rPr>
        <w:t>1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65DF4">
        <w:rPr>
          <w:rFonts w:ascii="Times New Roman" w:hAnsi="Times New Roman" w:cs="Times New Roman"/>
          <w:b/>
          <w:sz w:val="28"/>
          <w:szCs w:val="28"/>
        </w:rPr>
        <w:t>6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3</w:t>
      </w:r>
      <w:r w:rsidR="00365DF4">
        <w:rPr>
          <w:rFonts w:ascii="Times New Roman" w:hAnsi="Times New Roman" w:cs="Times New Roman"/>
          <w:b/>
          <w:sz w:val="28"/>
          <w:szCs w:val="28"/>
        </w:rPr>
        <w:t> 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443</w:t>
      </w:r>
      <w:r w:rsidR="00365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75C">
        <w:rPr>
          <w:rFonts w:ascii="Times New Roman" w:hAnsi="Times New Roman" w:cs="Times New Roman"/>
          <w:sz w:val="28"/>
          <w:szCs w:val="28"/>
        </w:rPr>
        <w:t>контракта</w:t>
      </w:r>
      <w:r w:rsidRPr="009508D4">
        <w:rPr>
          <w:rFonts w:ascii="Times New Roman" w:hAnsi="Times New Roman" w:cs="Times New Roman"/>
          <w:sz w:val="28"/>
          <w:szCs w:val="28"/>
        </w:rPr>
        <w:t xml:space="preserve">, общим объемом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10 259,57</w:t>
      </w:r>
      <w:r w:rsidR="00365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508D4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1</w:t>
      </w:r>
      <w:r w:rsidR="00365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352</w:t>
      </w:r>
      <w:r w:rsidR="00365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DF4">
        <w:rPr>
          <w:rFonts w:ascii="Times New Roman" w:hAnsi="Times New Roman" w:cs="Times New Roman"/>
          <w:sz w:val="28"/>
          <w:szCs w:val="28"/>
        </w:rPr>
        <w:t>контракта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1 647,86</w:t>
      </w:r>
      <w:r w:rsidR="00365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млн. руб. </w:t>
      </w:r>
      <w:r w:rsidRPr="009508D4">
        <w:rPr>
          <w:rFonts w:ascii="Times New Roman" w:hAnsi="Times New Roman" w:cs="Times New Roman"/>
          <w:sz w:val="28"/>
          <w:szCs w:val="28"/>
        </w:rPr>
        <w:t>заключены с единственным поставщиком (подрядчиком, исполнителем) (в т.ч. с использ</w:t>
      </w:r>
      <w:r w:rsidR="00365DF4">
        <w:rPr>
          <w:rFonts w:ascii="Times New Roman" w:hAnsi="Times New Roman" w:cs="Times New Roman"/>
          <w:sz w:val="28"/>
          <w:szCs w:val="28"/>
        </w:rPr>
        <w:t>ованием модуля «Малые закупки»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365DF4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318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0D9">
        <w:rPr>
          <w:rFonts w:ascii="Times New Roman" w:hAnsi="Times New Roman" w:cs="Times New Roman"/>
          <w:sz w:val="28"/>
          <w:szCs w:val="28"/>
        </w:rPr>
        <w:t>контракт</w:t>
      </w:r>
      <w:r w:rsidR="00365DF4">
        <w:rPr>
          <w:rFonts w:ascii="Times New Roman" w:hAnsi="Times New Roman" w:cs="Times New Roman"/>
          <w:sz w:val="28"/>
          <w:szCs w:val="28"/>
        </w:rPr>
        <w:t>ов</w:t>
      </w:r>
      <w:r w:rsidRPr="009508D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365DF4" w:rsidRPr="00365DF4">
        <w:rPr>
          <w:rFonts w:ascii="Times New Roman" w:hAnsi="Times New Roman" w:cs="Times New Roman"/>
          <w:b/>
          <w:sz w:val="28"/>
          <w:szCs w:val="28"/>
        </w:rPr>
        <w:t>57,65</w:t>
      </w:r>
      <w:r w:rsidR="0006675C" w:rsidRPr="00365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F4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365DF4" w:rsidRPr="00365DF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5DF4" w:rsidRDefault="00365DF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9508D4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034"/>
        <w:gridCol w:w="2632"/>
        <w:gridCol w:w="2188"/>
      </w:tblGrid>
      <w:tr w:rsidR="00D77D7D" w:rsidRPr="00365DF4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365DF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определения поставщика </w:t>
            </w: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365DF4" w:rsidRDefault="003A16E0" w:rsidP="00365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D77D7D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365DF4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77D7D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365DF4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365DF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365DF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365DF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365DF4" w:rsidTr="00BB5073">
        <w:trPr>
          <w:trHeight w:val="549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365DF4" w:rsidRDefault="00D26F3D" w:rsidP="00365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DF4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  <w:tc>
          <w:tcPr>
            <w:tcW w:w="2232" w:type="dxa"/>
            <w:vAlign w:val="center"/>
          </w:tcPr>
          <w:p w:rsidR="00D77D7D" w:rsidRPr="00365DF4" w:rsidRDefault="00365DF4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5 185,11</w:t>
            </w:r>
          </w:p>
        </w:tc>
      </w:tr>
      <w:tr w:rsidR="00D77D7D" w:rsidRPr="00365DF4" w:rsidTr="00BB5073">
        <w:trPr>
          <w:trHeight w:val="385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365DF4" w:rsidRDefault="00EC4E12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994</w:t>
            </w:r>
          </w:p>
        </w:tc>
        <w:tc>
          <w:tcPr>
            <w:tcW w:w="2232" w:type="dxa"/>
            <w:vAlign w:val="center"/>
          </w:tcPr>
          <w:p w:rsidR="00D77D7D" w:rsidRPr="00365DF4" w:rsidRDefault="00EC4E1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3 707,1</w:t>
            </w:r>
          </w:p>
        </w:tc>
      </w:tr>
      <w:tr w:rsidR="00D77D7D" w:rsidRPr="00365DF4" w:rsidTr="00BB5073">
        <w:trPr>
          <w:trHeight w:val="591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365DF4" w:rsidRDefault="00365DF4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32" w:type="dxa"/>
            <w:vAlign w:val="center"/>
          </w:tcPr>
          <w:p w:rsidR="00D77D7D" w:rsidRPr="00365DF4" w:rsidRDefault="00365DF4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2 987,53</w:t>
            </w:r>
          </w:p>
        </w:tc>
      </w:tr>
      <w:tr w:rsidR="00D77D7D" w:rsidRPr="00365DF4" w:rsidTr="00BB5073">
        <w:trPr>
          <w:trHeight w:val="330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365DF4" w:rsidRDefault="00EC4E1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 </w:t>
            </w:r>
          </w:p>
        </w:tc>
        <w:tc>
          <w:tcPr>
            <w:tcW w:w="2232" w:type="dxa"/>
            <w:vAlign w:val="center"/>
          </w:tcPr>
          <w:p w:rsidR="00D77D7D" w:rsidRPr="00365DF4" w:rsidRDefault="00EC4E1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1 623,86</w:t>
            </w:r>
          </w:p>
        </w:tc>
      </w:tr>
      <w:tr w:rsidR="00D77D7D" w:rsidRPr="00365DF4" w:rsidTr="00BB5073">
        <w:trPr>
          <w:trHeight w:val="505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365DF4" w:rsidRDefault="00365DF4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2232" w:type="dxa"/>
            <w:vAlign w:val="center"/>
          </w:tcPr>
          <w:p w:rsidR="00D77D7D" w:rsidRPr="00365DF4" w:rsidRDefault="00365DF4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439,07</w:t>
            </w:r>
          </w:p>
        </w:tc>
      </w:tr>
      <w:tr w:rsidR="00D77D7D" w:rsidRPr="00365DF4" w:rsidTr="00BB5073">
        <w:trPr>
          <w:trHeight w:val="257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365DF4" w:rsidRDefault="00D26F3D" w:rsidP="00EC4E1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C4E12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2232" w:type="dxa"/>
            <w:vAlign w:val="center"/>
          </w:tcPr>
          <w:p w:rsidR="00D77D7D" w:rsidRPr="00365DF4" w:rsidRDefault="00EC4E1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280,58</w:t>
            </w:r>
          </w:p>
        </w:tc>
      </w:tr>
      <w:tr w:rsidR="00D77D7D" w:rsidRPr="00365DF4" w:rsidTr="00BB5073">
        <w:trPr>
          <w:trHeight w:val="547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D77D7D" w:rsidRPr="00365DF4" w:rsidRDefault="0006675C" w:rsidP="00365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DF4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2232" w:type="dxa"/>
            <w:vAlign w:val="center"/>
          </w:tcPr>
          <w:p w:rsidR="00D77D7D" w:rsidRPr="00365DF4" w:rsidRDefault="0063516F" w:rsidP="00365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5DF4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 647,86</w:t>
            </w:r>
          </w:p>
        </w:tc>
      </w:tr>
      <w:tr w:rsidR="00D77D7D" w:rsidRPr="00365DF4" w:rsidTr="00BB5073">
        <w:trPr>
          <w:trHeight w:val="399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365DF4" w:rsidRDefault="00EA40D9" w:rsidP="00365DF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365DF4"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2232" w:type="dxa"/>
            <w:vAlign w:val="center"/>
          </w:tcPr>
          <w:p w:rsidR="00D77D7D" w:rsidRPr="00365DF4" w:rsidRDefault="00365DF4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57,65</w:t>
            </w:r>
          </w:p>
        </w:tc>
      </w:tr>
      <w:tr w:rsidR="00D77D7D" w:rsidRPr="00365DF4" w:rsidTr="00BB5073">
        <w:trPr>
          <w:trHeight w:val="635"/>
        </w:trPr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365DF4" w:rsidRDefault="00EA40D9" w:rsidP="00365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65DF4"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2232" w:type="dxa"/>
            <w:vAlign w:val="center"/>
          </w:tcPr>
          <w:p w:rsidR="00D77D7D" w:rsidRPr="00365DF4" w:rsidRDefault="00365DF4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b/>
                <w:sz w:val="24"/>
                <w:szCs w:val="24"/>
              </w:rPr>
              <w:t>10 259,57</w:t>
            </w:r>
          </w:p>
        </w:tc>
      </w:tr>
      <w:tr w:rsidR="00D77D7D" w:rsidRPr="00365DF4" w:rsidTr="00BB5073">
        <w:tc>
          <w:tcPr>
            <w:tcW w:w="5211" w:type="dxa"/>
            <w:vAlign w:val="center"/>
          </w:tcPr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365DF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F4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365DF4" w:rsidRDefault="00EC4E1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1 205</w:t>
            </w:r>
          </w:p>
        </w:tc>
        <w:tc>
          <w:tcPr>
            <w:tcW w:w="2232" w:type="dxa"/>
            <w:vAlign w:val="center"/>
          </w:tcPr>
          <w:p w:rsidR="00D77D7D" w:rsidRPr="00365DF4" w:rsidRDefault="00EC4E1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5 611,54</w:t>
            </w:r>
          </w:p>
        </w:tc>
      </w:tr>
    </w:tbl>
    <w:p w:rsidR="00D77D7D" w:rsidRPr="009508D4" w:rsidRDefault="00D77D7D" w:rsidP="00D77D7D">
      <w:pPr>
        <w:rPr>
          <w:rFonts w:ascii="Times New Roman" w:hAnsi="Times New Roman" w:cs="Times New Roman"/>
          <w:sz w:val="18"/>
          <w:szCs w:val="28"/>
        </w:rPr>
      </w:pPr>
    </w:p>
    <w:p w:rsidR="00D77D7D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EC4E12">
        <w:rPr>
          <w:rFonts w:ascii="Times New Roman" w:hAnsi="Times New Roman" w:cs="Times New Roman"/>
          <w:sz w:val="28"/>
          <w:szCs w:val="28"/>
        </w:rPr>
        <w:t>5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>у</w:t>
      </w:r>
      <w:r w:rsidR="004B240D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sz w:val="28"/>
          <w:szCs w:val="28"/>
        </w:rPr>
        <w:t>на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EA3555" w:rsidRPr="00EA3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40D">
        <w:rPr>
          <w:rFonts w:ascii="Times New Roman" w:hAnsi="Times New Roman" w:cs="Times New Roman"/>
          <w:b/>
          <w:sz w:val="28"/>
          <w:szCs w:val="28"/>
        </w:rPr>
        <w:t xml:space="preserve">180 </w:t>
      </w:r>
      <w:r w:rsidRPr="00EA3555">
        <w:rPr>
          <w:rFonts w:ascii="Times New Roman" w:hAnsi="Times New Roman" w:cs="Times New Roman"/>
          <w:b/>
          <w:sz w:val="28"/>
          <w:szCs w:val="28"/>
        </w:rPr>
        <w:t>шт.</w:t>
      </w:r>
      <w:r w:rsidRPr="009508D4">
        <w:rPr>
          <w:rFonts w:ascii="Times New Roman" w:hAnsi="Times New Roman" w:cs="Times New Roman"/>
          <w:sz w:val="28"/>
          <w:szCs w:val="28"/>
        </w:rPr>
        <w:t xml:space="preserve"> (</w:t>
      </w:r>
      <w:r w:rsidR="004B240D">
        <w:rPr>
          <w:rFonts w:ascii="Times New Roman" w:hAnsi="Times New Roman" w:cs="Times New Roman"/>
          <w:sz w:val="28"/>
          <w:szCs w:val="28"/>
        </w:rPr>
        <w:t>5,52</w:t>
      </w:r>
      <w:r w:rsidR="00441899">
        <w:rPr>
          <w:rFonts w:ascii="Times New Roman" w:hAnsi="Times New Roman" w:cs="Times New Roman"/>
          <w:sz w:val="28"/>
          <w:szCs w:val="28"/>
        </w:rPr>
        <w:t xml:space="preserve">%), при этом </w:t>
      </w:r>
      <w:r w:rsidR="002A1F92" w:rsidRPr="00A20663">
        <w:rPr>
          <w:rFonts w:ascii="Times New Roman" w:hAnsi="Times New Roman" w:cs="Times New Roman"/>
          <w:b/>
          <w:sz w:val="28"/>
          <w:szCs w:val="28"/>
        </w:rPr>
        <w:t xml:space="preserve">суммарный 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 xml:space="preserve">объем заключенных контрактов </w:t>
      </w:r>
      <w:r w:rsidR="004B240D">
        <w:rPr>
          <w:rFonts w:ascii="Times New Roman" w:hAnsi="Times New Roman" w:cs="Times New Roman"/>
          <w:b/>
          <w:sz w:val="28"/>
          <w:szCs w:val="28"/>
        </w:rPr>
        <w:t>уменьшился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на </w:t>
      </w:r>
      <w:r w:rsidR="004B240D">
        <w:rPr>
          <w:rFonts w:ascii="Times New Roman" w:hAnsi="Times New Roman" w:cs="Times New Roman"/>
          <w:b/>
          <w:sz w:val="28"/>
          <w:szCs w:val="28"/>
        </w:rPr>
        <w:t>903,66</w:t>
      </w:r>
      <w:r w:rsidR="0009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F14">
        <w:rPr>
          <w:rFonts w:ascii="Times New Roman" w:hAnsi="Times New Roman" w:cs="Times New Roman"/>
          <w:b/>
          <w:sz w:val="28"/>
          <w:szCs w:val="28"/>
        </w:rPr>
        <w:t>млн</w:t>
      </w:r>
      <w:r w:rsidR="00A82F14" w:rsidRPr="00A82F14">
        <w:rPr>
          <w:rFonts w:ascii="Times New Roman" w:hAnsi="Times New Roman" w:cs="Times New Roman"/>
          <w:b/>
          <w:sz w:val="28"/>
          <w:szCs w:val="28"/>
        </w:rPr>
        <w:t>. руб</w:t>
      </w:r>
      <w:r w:rsidR="00091F2A">
        <w:rPr>
          <w:rFonts w:ascii="Times New Roman" w:hAnsi="Times New Roman" w:cs="Times New Roman"/>
          <w:sz w:val="28"/>
          <w:szCs w:val="28"/>
        </w:rPr>
        <w:t xml:space="preserve">. </w:t>
      </w:r>
      <w:r w:rsidR="004B240D">
        <w:rPr>
          <w:rFonts w:ascii="Times New Roman" w:hAnsi="Times New Roman" w:cs="Times New Roman"/>
          <w:sz w:val="28"/>
          <w:szCs w:val="28"/>
        </w:rPr>
        <w:t xml:space="preserve">(8,09%). </w:t>
      </w:r>
      <w:r w:rsidR="00D76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1649" cy="2926080"/>
            <wp:effectExtent l="19050" t="0" r="24351" b="762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F85BB2" w:rsidRDefault="00D62CFC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результатам заключения контрактов в </w:t>
      </w:r>
      <w:r w:rsidR="00B11436" w:rsidRPr="007710D1">
        <w:rPr>
          <w:rFonts w:ascii="Times New Roman" w:hAnsi="Times New Roman" w:cs="Times New Roman"/>
          <w:b/>
          <w:sz w:val="28"/>
          <w:szCs w:val="28"/>
        </w:rPr>
        <w:t>1</w:t>
      </w:r>
      <w:r w:rsidR="00D77D7D" w:rsidRPr="007710D1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4B240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D77D7D" w:rsidRPr="007710D1">
        <w:rPr>
          <w:rFonts w:ascii="Times New Roman" w:hAnsi="Times New Roman" w:cs="Times New Roman"/>
          <w:b/>
          <w:sz w:val="28"/>
          <w:szCs w:val="28"/>
        </w:rPr>
        <w:t>го</w:t>
      </w:r>
      <w:r w:rsidR="00727FF6" w:rsidRPr="007710D1">
        <w:rPr>
          <w:rFonts w:ascii="Times New Roman" w:hAnsi="Times New Roman" w:cs="Times New Roman"/>
          <w:b/>
          <w:sz w:val="28"/>
          <w:szCs w:val="28"/>
        </w:rPr>
        <w:t>да</w:t>
      </w:r>
      <w:r w:rsidR="00727FF6">
        <w:rPr>
          <w:rFonts w:ascii="Times New Roman" w:hAnsi="Times New Roman" w:cs="Times New Roman"/>
          <w:sz w:val="28"/>
          <w:szCs w:val="28"/>
        </w:rPr>
        <w:t xml:space="preserve"> экономия средств</w:t>
      </w:r>
      <w:r w:rsidR="007710D1">
        <w:rPr>
          <w:rFonts w:ascii="Times New Roman" w:hAnsi="Times New Roman" w:cs="Times New Roman"/>
          <w:sz w:val="28"/>
          <w:szCs w:val="28"/>
        </w:rPr>
        <w:t>,</w:t>
      </w:r>
      <w:r w:rsidR="007710D1" w:rsidRPr="007710D1">
        <w:rPr>
          <w:rFonts w:ascii="Times New Roman" w:hAnsi="Times New Roman" w:cs="Times New Roman"/>
          <w:sz w:val="28"/>
          <w:szCs w:val="28"/>
        </w:rPr>
        <w:t xml:space="preserve"> </w:t>
      </w:r>
      <w:r w:rsidR="007710D1" w:rsidRPr="00401B98">
        <w:rPr>
          <w:rFonts w:ascii="Times New Roman" w:hAnsi="Times New Roman" w:cs="Times New Roman"/>
          <w:sz w:val="28"/>
          <w:szCs w:val="28"/>
        </w:rPr>
        <w:t>полученная</w:t>
      </w:r>
      <w:r w:rsidR="007710D1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="007710D1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7710D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7710D1" w:rsidRPr="00916FD7">
        <w:rPr>
          <w:rFonts w:ascii="Times New Roman" w:hAnsi="Times New Roman" w:cs="Times New Roman"/>
          <w:sz w:val="28"/>
          <w:szCs w:val="28"/>
        </w:rPr>
        <w:t xml:space="preserve">(без </w:t>
      </w:r>
      <w:r w:rsidR="007710D1" w:rsidRPr="00916FD7">
        <w:rPr>
          <w:rFonts w:ascii="Times New Roman" w:hAnsi="Times New Roman" w:cs="Times New Roman"/>
          <w:sz w:val="28"/>
          <w:szCs w:val="28"/>
        </w:rPr>
        <w:lastRenderedPageBreak/>
        <w:t>учета муниципальн</w:t>
      </w:r>
      <w:r w:rsidR="007710D1">
        <w:rPr>
          <w:rFonts w:ascii="Times New Roman" w:hAnsi="Times New Roman" w:cs="Times New Roman"/>
          <w:sz w:val="28"/>
          <w:szCs w:val="28"/>
        </w:rPr>
        <w:t>ого уровня</w:t>
      </w:r>
      <w:r w:rsidR="007710D1" w:rsidRPr="00916FD7">
        <w:rPr>
          <w:rFonts w:ascii="Times New Roman" w:hAnsi="Times New Roman" w:cs="Times New Roman"/>
          <w:sz w:val="28"/>
          <w:szCs w:val="28"/>
        </w:rPr>
        <w:t>)</w:t>
      </w:r>
      <w:r w:rsidR="00727FF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E9538A">
        <w:rPr>
          <w:rFonts w:ascii="Times New Roman" w:hAnsi="Times New Roman" w:cs="Times New Roman"/>
          <w:b/>
          <w:sz w:val="28"/>
          <w:szCs w:val="28"/>
        </w:rPr>
        <w:t>363,09</w:t>
      </w:r>
      <w:r w:rsidR="00932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7D" w:rsidRPr="00F85BB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., в том числе экономия, полученная при использовании модуля «Малые закупки» </w:t>
      </w:r>
      <w:r w:rsidR="00E9538A">
        <w:rPr>
          <w:rFonts w:ascii="Times New Roman" w:hAnsi="Times New Roman" w:cs="Times New Roman"/>
          <w:b/>
          <w:sz w:val="28"/>
          <w:szCs w:val="28"/>
        </w:rPr>
        <w:t>9,61</w:t>
      </w:r>
      <w:r w:rsidR="00D77D7D" w:rsidRPr="00F85BB2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По отношению к показателю </w:t>
      </w:r>
      <w:r w:rsidR="00B11436">
        <w:rPr>
          <w:rFonts w:ascii="Times New Roman" w:hAnsi="Times New Roman" w:cs="Times New Roman"/>
          <w:sz w:val="28"/>
          <w:szCs w:val="28"/>
        </w:rPr>
        <w:t>1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4B35A7">
        <w:rPr>
          <w:rFonts w:ascii="Times New Roman" w:hAnsi="Times New Roman" w:cs="Times New Roman"/>
          <w:sz w:val="28"/>
          <w:szCs w:val="28"/>
        </w:rPr>
        <w:t>5</w:t>
      </w:r>
      <w:r w:rsidR="007710D1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экономия </w:t>
      </w:r>
      <w:r w:rsidR="00E9538A">
        <w:rPr>
          <w:rFonts w:ascii="Times New Roman" w:hAnsi="Times New Roman" w:cs="Times New Roman"/>
          <w:b/>
          <w:sz w:val="28"/>
          <w:szCs w:val="28"/>
        </w:rPr>
        <w:t>уменьшилась</w:t>
      </w:r>
      <w:r w:rsidR="00A20663" w:rsidRPr="00A20663">
        <w:rPr>
          <w:rFonts w:ascii="Times New Roman" w:hAnsi="Times New Roman" w:cs="Times New Roman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sz w:val="28"/>
          <w:szCs w:val="28"/>
        </w:rPr>
        <w:t xml:space="preserve"> на </w:t>
      </w:r>
      <w:r w:rsidR="00E9538A">
        <w:rPr>
          <w:rFonts w:ascii="Times New Roman" w:hAnsi="Times New Roman" w:cs="Times New Roman"/>
          <w:b/>
          <w:sz w:val="28"/>
          <w:szCs w:val="28"/>
        </w:rPr>
        <w:t>71,24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12430F">
        <w:rPr>
          <w:rFonts w:ascii="Times New Roman" w:hAnsi="Times New Roman" w:cs="Times New Roman"/>
          <w:sz w:val="28"/>
          <w:szCs w:val="28"/>
        </w:rPr>
        <w:t xml:space="preserve">(16,40%).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845" cy="2057400"/>
            <wp:effectExtent l="19050" t="0" r="14605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E9538A" w:rsidRDefault="001C732C" w:rsidP="00E9538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Наибол</w:t>
      </w:r>
      <w:r>
        <w:rPr>
          <w:rFonts w:ascii="Times New Roman" w:hAnsi="Times New Roman" w:cs="Times New Roman"/>
          <w:sz w:val="28"/>
          <w:szCs w:val="28"/>
        </w:rPr>
        <w:t xml:space="preserve">ьшая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по результатам проведения закупок </w:t>
      </w:r>
      <w:r w:rsidRPr="00A2066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C0110" w:rsidRPr="00A20663">
        <w:rPr>
          <w:rFonts w:ascii="Times New Roman" w:hAnsi="Times New Roman" w:cs="Times New Roman"/>
          <w:b/>
          <w:sz w:val="28"/>
          <w:szCs w:val="28"/>
        </w:rPr>
        <w:t>1</w:t>
      </w:r>
      <w:r w:rsidRPr="00A20663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E9538A">
        <w:rPr>
          <w:rFonts w:ascii="Times New Roman" w:hAnsi="Times New Roman" w:cs="Times New Roman"/>
          <w:b/>
          <w:sz w:val="28"/>
          <w:szCs w:val="28"/>
        </w:rPr>
        <w:t>6</w:t>
      </w:r>
      <w:r w:rsidRPr="00A2066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E9538A">
        <w:rPr>
          <w:rFonts w:ascii="Times New Roman" w:hAnsi="Times New Roman" w:cs="Times New Roman"/>
          <w:b/>
          <w:sz w:val="28"/>
          <w:szCs w:val="28"/>
        </w:rPr>
        <w:t>248,30</w:t>
      </w:r>
      <w:r w:rsidR="003E7F7A" w:rsidRPr="00A2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7D" w:rsidRPr="00A2066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E9538A">
        <w:rPr>
          <w:rFonts w:ascii="Times New Roman" w:hAnsi="Times New Roman" w:cs="Times New Roman"/>
          <w:sz w:val="28"/>
          <w:szCs w:val="28"/>
        </w:rPr>
        <w:t>68,39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% от общей экономии.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042"/>
        <w:gridCol w:w="2625"/>
        <w:gridCol w:w="2187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BC0110" w:rsidP="00E953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E953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E7F7A" w:rsidRPr="00E9538A" w:rsidRDefault="00E9538A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248,30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E9538A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68,39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E9538A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34,53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E9538A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9,51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E9538A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64,13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E9538A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17,66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r w:rsidR="0012430F"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поставщика,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E9538A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16,12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E9538A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4,44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E9538A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363,09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lastRenderedPageBreak/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AC5EBF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 соответствии со статьей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№44-ФЗ  контрактная система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сфере закупок основывается, в том числе на таких принципах как: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AC5EBF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Default="00A20663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конкурентными способами</w:t>
      </w:r>
      <w:r w:rsidR="009A544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объеме закупок 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</w:t>
      </w:r>
      <w:r w:rsidR="00AC5EBF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>1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–м 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>квартале 202</w:t>
      </w:r>
      <w:r w:rsidR="0012430F">
        <w:rPr>
          <w:rFonts w:ascii="Times New Roman" w:eastAsiaTheme="minorHAnsi" w:hAnsi="Times New Roman"/>
          <w:b/>
          <w:sz w:val="28"/>
          <w:szCs w:val="28"/>
          <w:lang w:eastAsia="en-US"/>
        </w:rPr>
        <w:t>6</w:t>
      </w:r>
      <w:r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>года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12430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5025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84 </w:t>
      </w:r>
      <w:r w:rsidR="00D77D7D"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p w:rsidR="00D77D7D" w:rsidRPr="004F2576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7168EF" w:rsidRDefault="00D77D7D" w:rsidP="00D77D7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77D7D" w:rsidRPr="00290B97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455EE" w:rsidRDefault="00D77D7D">
      <w:pPr>
        <w:rPr>
          <w:rFonts w:ascii="Times New Roman" w:hAnsi="Times New Roman" w:cs="Times New Roman"/>
          <w:sz w:val="28"/>
          <w:szCs w:val="28"/>
        </w:rPr>
      </w:pPr>
    </w:p>
    <w:sectPr w:rsidR="00D77D7D" w:rsidRPr="004455EE" w:rsidSect="0012430F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8A" w:rsidRDefault="00E9538A" w:rsidP="00041C57">
      <w:pPr>
        <w:spacing w:after="0" w:line="240" w:lineRule="auto"/>
      </w:pPr>
      <w:r>
        <w:separator/>
      </w:r>
    </w:p>
  </w:endnote>
  <w:endnote w:type="continuationSeparator" w:id="0">
    <w:p w:rsidR="00E9538A" w:rsidRDefault="00E9538A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8A" w:rsidRDefault="00E9538A" w:rsidP="00041C57">
      <w:pPr>
        <w:spacing w:after="0" w:line="240" w:lineRule="auto"/>
      </w:pPr>
      <w:r>
        <w:separator/>
      </w:r>
    </w:p>
  </w:footnote>
  <w:footnote w:type="continuationSeparator" w:id="0">
    <w:p w:rsidR="00E9538A" w:rsidRDefault="00E9538A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538A" w:rsidRPr="00DF6C9C" w:rsidRDefault="001C383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538A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5A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286D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1F2A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5161"/>
    <w:rsid w:val="000F5380"/>
    <w:rsid w:val="000F76AB"/>
    <w:rsid w:val="000F7939"/>
    <w:rsid w:val="001045A8"/>
    <w:rsid w:val="00107D82"/>
    <w:rsid w:val="00112BE9"/>
    <w:rsid w:val="00115B20"/>
    <w:rsid w:val="00115C71"/>
    <w:rsid w:val="001226EF"/>
    <w:rsid w:val="00122F59"/>
    <w:rsid w:val="00123DB9"/>
    <w:rsid w:val="0012430F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71F3B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383C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2101"/>
    <w:rsid w:val="001F2DF4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1AF2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3727"/>
    <w:rsid w:val="003654AA"/>
    <w:rsid w:val="00365866"/>
    <w:rsid w:val="00365DF4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16E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1F4B"/>
    <w:rsid w:val="003D2BFB"/>
    <w:rsid w:val="003D35E9"/>
    <w:rsid w:val="003D4A25"/>
    <w:rsid w:val="003D5366"/>
    <w:rsid w:val="003D55CC"/>
    <w:rsid w:val="003D5B9B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86E63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40D"/>
    <w:rsid w:val="004B2628"/>
    <w:rsid w:val="004B35A7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6AD4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4DE8"/>
    <w:rsid w:val="00625392"/>
    <w:rsid w:val="00630D17"/>
    <w:rsid w:val="0063516F"/>
    <w:rsid w:val="0063791A"/>
    <w:rsid w:val="006401C9"/>
    <w:rsid w:val="00641790"/>
    <w:rsid w:val="00641E97"/>
    <w:rsid w:val="0064442D"/>
    <w:rsid w:val="00645CB0"/>
    <w:rsid w:val="00645CDF"/>
    <w:rsid w:val="006465F3"/>
    <w:rsid w:val="00647854"/>
    <w:rsid w:val="00650259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4C7"/>
    <w:rsid w:val="00676FCD"/>
    <w:rsid w:val="00680EF9"/>
    <w:rsid w:val="00681992"/>
    <w:rsid w:val="00681C57"/>
    <w:rsid w:val="00681C7E"/>
    <w:rsid w:val="00684678"/>
    <w:rsid w:val="00685D2F"/>
    <w:rsid w:val="00686CF0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539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3516"/>
    <w:rsid w:val="00724CB7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10D1"/>
    <w:rsid w:val="0077475D"/>
    <w:rsid w:val="00774BA4"/>
    <w:rsid w:val="00777A84"/>
    <w:rsid w:val="007817D3"/>
    <w:rsid w:val="00781BF7"/>
    <w:rsid w:val="00783D86"/>
    <w:rsid w:val="007870AC"/>
    <w:rsid w:val="00791B1C"/>
    <w:rsid w:val="00793F5E"/>
    <w:rsid w:val="0079489C"/>
    <w:rsid w:val="00796729"/>
    <w:rsid w:val="00796E7A"/>
    <w:rsid w:val="007970C2"/>
    <w:rsid w:val="007A1563"/>
    <w:rsid w:val="007A588A"/>
    <w:rsid w:val="007A6286"/>
    <w:rsid w:val="007B0190"/>
    <w:rsid w:val="007B01B9"/>
    <w:rsid w:val="007B2C78"/>
    <w:rsid w:val="007B54EF"/>
    <w:rsid w:val="007B67EC"/>
    <w:rsid w:val="007B6B79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2AA8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265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31E5"/>
    <w:rsid w:val="00845087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773DA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3BC3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D7B2C"/>
    <w:rsid w:val="008D7BD0"/>
    <w:rsid w:val="008E0723"/>
    <w:rsid w:val="008E1D90"/>
    <w:rsid w:val="008E4DEB"/>
    <w:rsid w:val="008F0493"/>
    <w:rsid w:val="008F2CA9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0777"/>
    <w:rsid w:val="00932C03"/>
    <w:rsid w:val="00933617"/>
    <w:rsid w:val="00933DC2"/>
    <w:rsid w:val="00934DF0"/>
    <w:rsid w:val="00936874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5806"/>
    <w:rsid w:val="0099424D"/>
    <w:rsid w:val="009A1661"/>
    <w:rsid w:val="009A4490"/>
    <w:rsid w:val="009A5440"/>
    <w:rsid w:val="009B0A16"/>
    <w:rsid w:val="009B1755"/>
    <w:rsid w:val="009B210E"/>
    <w:rsid w:val="009B3A69"/>
    <w:rsid w:val="009C0E24"/>
    <w:rsid w:val="009C1E97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9F76BC"/>
    <w:rsid w:val="00A01A8B"/>
    <w:rsid w:val="00A034CF"/>
    <w:rsid w:val="00A064C3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0663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3ED6"/>
    <w:rsid w:val="00A64514"/>
    <w:rsid w:val="00A65A69"/>
    <w:rsid w:val="00A671F1"/>
    <w:rsid w:val="00A6727E"/>
    <w:rsid w:val="00A6758D"/>
    <w:rsid w:val="00A679D8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B3F0A"/>
    <w:rsid w:val="00AC4671"/>
    <w:rsid w:val="00AC4BC6"/>
    <w:rsid w:val="00AC4CE8"/>
    <w:rsid w:val="00AC5EBF"/>
    <w:rsid w:val="00AC6B20"/>
    <w:rsid w:val="00AC7E94"/>
    <w:rsid w:val="00AD4129"/>
    <w:rsid w:val="00AD5ED9"/>
    <w:rsid w:val="00AE4CC5"/>
    <w:rsid w:val="00AF12DC"/>
    <w:rsid w:val="00AF2A91"/>
    <w:rsid w:val="00AF31FA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01E9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6639"/>
    <w:rsid w:val="00BD15AC"/>
    <w:rsid w:val="00BD2E74"/>
    <w:rsid w:val="00BD3BCA"/>
    <w:rsid w:val="00BD4499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50532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3D2E"/>
    <w:rsid w:val="00CB4620"/>
    <w:rsid w:val="00CB5082"/>
    <w:rsid w:val="00CB51CD"/>
    <w:rsid w:val="00CB5B07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109DD"/>
    <w:rsid w:val="00D119D2"/>
    <w:rsid w:val="00D131BC"/>
    <w:rsid w:val="00D14AF7"/>
    <w:rsid w:val="00D26F3D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310A"/>
    <w:rsid w:val="00DF5125"/>
    <w:rsid w:val="00DF6C9C"/>
    <w:rsid w:val="00E023D3"/>
    <w:rsid w:val="00E0484D"/>
    <w:rsid w:val="00E04EC5"/>
    <w:rsid w:val="00E10E41"/>
    <w:rsid w:val="00E134B4"/>
    <w:rsid w:val="00E13536"/>
    <w:rsid w:val="00E13C95"/>
    <w:rsid w:val="00E14C52"/>
    <w:rsid w:val="00E2244A"/>
    <w:rsid w:val="00E25DBB"/>
    <w:rsid w:val="00E27024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0151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538A"/>
    <w:rsid w:val="00E96C39"/>
    <w:rsid w:val="00E97225"/>
    <w:rsid w:val="00EA30EF"/>
    <w:rsid w:val="00EA330C"/>
    <w:rsid w:val="00EA3555"/>
    <w:rsid w:val="00EA40D9"/>
    <w:rsid w:val="00EA7409"/>
    <w:rsid w:val="00EA7546"/>
    <w:rsid w:val="00EA79CF"/>
    <w:rsid w:val="00EC1E42"/>
    <w:rsid w:val="00EC2492"/>
    <w:rsid w:val="00EC3D53"/>
    <w:rsid w:val="00EC4E12"/>
    <w:rsid w:val="00EC5F14"/>
    <w:rsid w:val="00EC7DFC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81A8F"/>
    <w:rsid w:val="00F84394"/>
    <w:rsid w:val="00F85BB2"/>
    <w:rsid w:val="00F868A6"/>
    <w:rsid w:val="00F90D92"/>
    <w:rsid w:val="00F955A2"/>
    <w:rsid w:val="00FA40EF"/>
    <w:rsid w:val="00FB14C4"/>
    <w:rsid w:val="00FB2C33"/>
    <w:rsid w:val="00FB5269"/>
    <w:rsid w:val="00FB6279"/>
    <w:rsid w:val="00FB650F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algn="ctr" rtl="0"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</a:t>
            </a:r>
            <a:r>
              <a:rPr lang="ru-RU" sz="1200" i="1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 исполнителя)</a:t>
            </a:r>
            <a:r>
              <a:rPr lang="ru-RU" sz="1200" i="1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в 1 квартале  2026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>
                <c:manualLayout>
                  <c:x val="2.1739265553335562E-2"/>
                  <c:y val="-9.937584731405853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81,48%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3,15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>
                <c:manualLayout>
                  <c:x val="1.2260061583987606E-2"/>
                  <c:y val="1.7361431443113688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15,37%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0.81480000000000041</c:v>
                </c:pt>
                <c:pt idx="1">
                  <c:v>3.1500000000000028E-2</c:v>
                </c:pt>
                <c:pt idx="2">
                  <c:v>0.15370000000000011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2474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2602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2474</c:v>
                </c:pt>
                <c:pt idx="1">
                  <c:v>2602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ru-RU" baseline="0"/>
                      <a:t> 695,77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r>
                      <a:rPr lang="ru-RU" baseline="0"/>
                      <a:t> 304,06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12695.77</c:v>
                </c:pt>
                <c:pt idx="1">
                  <c:v>15304.06</c:v>
                </c:pt>
              </c:numCache>
            </c:numRef>
          </c:val>
        </c:ser>
        <c:dLbls>
          <c:showVal val="1"/>
        </c:dLbls>
        <c:gapWidth val="75"/>
        <c:axId val="145578624"/>
        <c:axId val="145584512"/>
      </c:barChart>
      <c:catAx>
        <c:axId val="145578624"/>
        <c:scaling>
          <c:orientation val="minMax"/>
        </c:scaling>
        <c:axPos val="b"/>
        <c:numFmt formatCode="General" sourceLinked="0"/>
        <c:majorTickMark val="none"/>
        <c:tickLblPos val="nextTo"/>
        <c:crossAx val="145584512"/>
        <c:crosses val="autoZero"/>
        <c:auto val="1"/>
        <c:lblAlgn val="ctr"/>
        <c:lblOffset val="100"/>
      </c:catAx>
      <c:valAx>
        <c:axId val="145584512"/>
        <c:scaling>
          <c:orientation val="minMax"/>
        </c:scaling>
        <c:axPos val="l"/>
        <c:numFmt formatCode="#,##0" sourceLinked="1"/>
        <c:majorTickMark val="none"/>
        <c:tickLblPos val="nextTo"/>
        <c:crossAx val="145578624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3.0254067719985837E-2"/>
                  <c:y val="-2.484998249360488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2026 г.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4755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2026 г.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273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 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482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2026 г.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4482</c:v>
                </c:pt>
              </c:numCache>
            </c:numRef>
          </c:val>
        </c:ser>
        <c:dLbls>
          <c:showVal val="1"/>
        </c:dLbls>
        <c:shape val="cylinder"/>
        <c:axId val="145879424"/>
        <c:axId val="145880960"/>
        <c:axId val="0"/>
      </c:bar3DChart>
      <c:catAx>
        <c:axId val="14587942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880960"/>
        <c:crosses val="autoZero"/>
        <c:auto val="1"/>
        <c:lblAlgn val="ctr"/>
        <c:lblOffset val="100"/>
      </c:catAx>
      <c:valAx>
        <c:axId val="14588096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87942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r>
              <a:rPr lang="ru-RU" sz="105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05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r>
              <a:rPr lang="ru-RU" sz="105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1 квартале 2026 г.</a:t>
            </a:r>
            <a:endParaRPr lang="ru-RU" sz="105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33533196665354"/>
          <c:y val="1.745543525809274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333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 sz="1200" baseline="0"/>
                      <a:t> 263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423E-3"/>
                  <c:y val="4.472792180232269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 sz="1200" baseline="0"/>
                      <a:t> 443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3263</c:v>
                </c:pt>
                <c:pt idx="1">
                  <c:v>3443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329E-7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100" b="1" i="0" baseline="0"/>
                      <a:t>11 163,23</a:t>
                    </a:r>
                    <a:endParaRPr lang="en-US" sz="1100" b="1" i="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7.9750714409337082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10</a:t>
                    </a:r>
                    <a:r>
                      <a:rPr lang="ru-RU" sz="1100" baseline="0"/>
                      <a:t> 259,57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11163.230000000005</c:v>
                </c:pt>
                <c:pt idx="1">
                  <c:v>10259.57</c:v>
                </c:pt>
              </c:numCache>
            </c:numRef>
          </c:val>
        </c:ser>
        <c:axId val="146010112"/>
        <c:axId val="146011648"/>
      </c:barChart>
      <c:catAx>
        <c:axId val="1460101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6011648"/>
        <c:crosses val="autoZero"/>
        <c:auto val="1"/>
        <c:lblAlgn val="ctr"/>
        <c:lblOffset val="100"/>
      </c:catAx>
      <c:valAx>
        <c:axId val="146011648"/>
        <c:scaling>
          <c:orientation val="minMax"/>
        </c:scaling>
        <c:axPos val="l"/>
        <c:min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601011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5027919291138673"/>
          <c:y val="0.2166666666666667"/>
          <c:w val="0.71620806209013665"/>
          <c:h val="0.5829012345679012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>
                <c:manualLayout>
                  <c:x val="1.4217528181172005E-2"/>
                  <c:y val="3.7037037037037056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100" b="1" i="0" baseline="0"/>
                      <a:t>434,33</a:t>
                    </a:r>
                    <a:endParaRPr lang="en-US" sz="1100" b="1" i="0" baseline="0"/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endParaRPr lang="en-US" sz="11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363,09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434.33</c:v>
                </c:pt>
                <c:pt idx="1">
                  <c:v>363.09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2025 года</c:v>
                </c:pt>
                <c:pt idx="1">
                  <c:v>1 квартал 2026 года</c:v>
                </c:pt>
              </c:strCache>
            </c:strRef>
          </c:cat>
          <c:val>
            <c:numRef>
              <c:f>Лист1!$D$2:$D$3</c:f>
            </c:numRef>
          </c:val>
        </c:ser>
        <c:axId val="145993088"/>
        <c:axId val="146109568"/>
      </c:barChart>
      <c:catAx>
        <c:axId val="145993088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6109568"/>
        <c:crosses val="autoZero"/>
        <c:auto val="1"/>
        <c:lblAlgn val="ctr"/>
        <c:lblOffset val="100"/>
      </c:catAx>
      <c:valAx>
        <c:axId val="14610956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99308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6908-BEBD-4508-931E-97402C87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8</cp:revision>
  <cp:lastPrinted>2023-01-12T13:12:00Z</cp:lastPrinted>
  <dcterms:created xsi:type="dcterms:W3CDTF">2026-04-14T13:32:00Z</dcterms:created>
  <dcterms:modified xsi:type="dcterms:W3CDTF">2026-05-08T07:28:00Z</dcterms:modified>
</cp:coreProperties>
</file>