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8F" w:rsidRDefault="001561EF" w:rsidP="001F6D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81050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493" t="8889" r="14203" b="11111"/>
                    <a:stretch/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1EF" w:rsidRPr="001561EF" w:rsidRDefault="001561EF" w:rsidP="001F6D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16D7" w:rsidRDefault="002716D7" w:rsidP="001F6D9A">
      <w:pPr>
        <w:spacing w:after="0"/>
        <w:jc w:val="center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716D7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МИНИСТЕРСТВО ГРАДОСТРОИТЕЛЬНОЙ ПОЛИТИКИ, ИМУЩЕСТВЕННЫХ И ЗЕМЕЛЬНЫХ ОТНОШЕНИЙ </w:t>
      </w:r>
    </w:p>
    <w:p w:rsidR="00917EE4" w:rsidRDefault="002716D7" w:rsidP="001F6D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16D7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>КУРСКОЙ ОБЛАСТИ</w:t>
      </w: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068F" w:rsidRPr="002716D7" w:rsidRDefault="00B13D7A" w:rsidP="00271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6D7">
        <w:rPr>
          <w:rFonts w:ascii="Times New Roman" w:hAnsi="Times New Roman" w:cs="Times New Roman"/>
          <w:b/>
          <w:sz w:val="28"/>
          <w:szCs w:val="28"/>
        </w:rPr>
        <w:t>СВОДНЫЙ АНАЛИТИЧЕСКИЙ ОТЧЕТ ПО РЕЗУЛЬ</w:t>
      </w:r>
      <w:r w:rsidR="00C32266" w:rsidRPr="002716D7">
        <w:rPr>
          <w:rFonts w:ascii="Times New Roman" w:hAnsi="Times New Roman" w:cs="Times New Roman"/>
          <w:b/>
          <w:sz w:val="28"/>
          <w:szCs w:val="28"/>
        </w:rPr>
        <w:t xml:space="preserve">ТАТАМ ОСУЩЕСТВЛЕНИЯ  </w:t>
      </w:r>
      <w:r w:rsidRPr="002716D7">
        <w:rPr>
          <w:rFonts w:ascii="Times New Roman" w:hAnsi="Times New Roman" w:cs="Times New Roman"/>
          <w:b/>
          <w:sz w:val="28"/>
          <w:szCs w:val="28"/>
        </w:rPr>
        <w:t>МОНИТОРИНГА ЗАКУПОК, ТОВАРОВ, РАБОТ, УСЛУГ ДЛЯ ОБЕСПЕЧЕНИЯ ГОСУДАРСТВЕННЫХ НУЖД КУРСКОЙ ОБЛАСТИ В СООТВЕТСТВИИ С ФЕДЕРАЛЬНЫМ З</w:t>
      </w:r>
      <w:r w:rsidR="0070356F" w:rsidRPr="002716D7">
        <w:rPr>
          <w:rFonts w:ascii="Times New Roman" w:hAnsi="Times New Roman" w:cs="Times New Roman"/>
          <w:b/>
          <w:sz w:val="28"/>
          <w:szCs w:val="28"/>
        </w:rPr>
        <w:t xml:space="preserve">АКОНОМ ОТ </w:t>
      </w:r>
      <w:r w:rsidRPr="002716D7">
        <w:rPr>
          <w:rFonts w:ascii="Times New Roman" w:hAnsi="Times New Roman" w:cs="Times New Roman"/>
          <w:b/>
          <w:sz w:val="28"/>
          <w:szCs w:val="28"/>
        </w:rPr>
        <w:t>5</w:t>
      </w:r>
      <w:r w:rsidR="004C7E52" w:rsidRPr="002716D7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Pr="002716D7">
        <w:rPr>
          <w:rFonts w:ascii="Times New Roman" w:hAnsi="Times New Roman" w:cs="Times New Roman"/>
          <w:b/>
          <w:sz w:val="28"/>
          <w:szCs w:val="28"/>
        </w:rPr>
        <w:t>2013</w:t>
      </w:r>
      <w:r w:rsidR="004C7E52" w:rsidRPr="002716D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2716D7">
        <w:rPr>
          <w:rFonts w:ascii="Times New Roman" w:hAnsi="Times New Roman" w:cs="Times New Roman"/>
          <w:b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ПО ИТОГАМ 20</w:t>
      </w:r>
      <w:r w:rsidR="004D5A8C" w:rsidRPr="002716D7">
        <w:rPr>
          <w:rFonts w:ascii="Times New Roman" w:hAnsi="Times New Roman" w:cs="Times New Roman"/>
          <w:b/>
          <w:sz w:val="28"/>
          <w:szCs w:val="28"/>
        </w:rPr>
        <w:t>2</w:t>
      </w:r>
      <w:r w:rsidR="002716D7" w:rsidRPr="002716D7">
        <w:rPr>
          <w:rFonts w:ascii="Times New Roman" w:hAnsi="Times New Roman" w:cs="Times New Roman"/>
          <w:b/>
          <w:sz w:val="28"/>
          <w:szCs w:val="28"/>
        </w:rPr>
        <w:t>5</w:t>
      </w:r>
      <w:r w:rsidR="007E3C2B" w:rsidRPr="00271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6D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56F" w:rsidRDefault="00E32379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>Курск</w:t>
      </w:r>
      <w:r w:rsidR="000863C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62D4D">
        <w:rPr>
          <w:rFonts w:ascii="Times New Roman" w:hAnsi="Times New Roman" w:cs="Times New Roman"/>
          <w:b/>
          <w:sz w:val="28"/>
          <w:szCs w:val="28"/>
        </w:rPr>
        <w:t>202</w:t>
      </w:r>
      <w:r w:rsidR="002716D7">
        <w:rPr>
          <w:rFonts w:ascii="Times New Roman" w:hAnsi="Times New Roman" w:cs="Times New Roman"/>
          <w:b/>
          <w:sz w:val="28"/>
          <w:szCs w:val="28"/>
        </w:rPr>
        <w:t>6</w:t>
      </w:r>
      <w:r w:rsidRPr="00762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1A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E4520" w:rsidRPr="009F577B" w:rsidRDefault="0070356F" w:rsidP="00C11E4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CE55DD" w:rsidRPr="009F577B">
        <w:rPr>
          <w:rFonts w:ascii="Times New Roman" w:hAnsi="Times New Roman"/>
          <w:sz w:val="28"/>
          <w:szCs w:val="28"/>
        </w:rPr>
        <w:lastRenderedPageBreak/>
        <w:t>Сводный аналитический о</w:t>
      </w:r>
      <w:r w:rsidR="00056753" w:rsidRPr="009F577B">
        <w:rPr>
          <w:rFonts w:ascii="Times New Roman" w:hAnsi="Times New Roman"/>
          <w:sz w:val="28"/>
          <w:szCs w:val="28"/>
        </w:rPr>
        <w:t>тчет по</w:t>
      </w:r>
      <w:r w:rsidR="00BE4520" w:rsidRPr="009F577B">
        <w:rPr>
          <w:rFonts w:ascii="Times New Roman" w:hAnsi="Times New Roman"/>
          <w:sz w:val="28"/>
          <w:szCs w:val="28"/>
        </w:rPr>
        <w:t xml:space="preserve"> результат</w:t>
      </w:r>
      <w:r w:rsidR="00056753" w:rsidRPr="009F577B">
        <w:rPr>
          <w:rFonts w:ascii="Times New Roman" w:hAnsi="Times New Roman"/>
          <w:sz w:val="28"/>
          <w:szCs w:val="28"/>
        </w:rPr>
        <w:t>ам</w:t>
      </w:r>
      <w:r w:rsidR="00BE4520" w:rsidRPr="009F5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="00BE4520" w:rsidRPr="009F577B">
        <w:rPr>
          <w:rFonts w:ascii="Times New Roman" w:hAnsi="Times New Roman"/>
          <w:sz w:val="28"/>
          <w:szCs w:val="28"/>
        </w:rPr>
        <w:t>мониторинга закупок товаров, работ, услуг для обеспечения государственных нужд Курской области</w:t>
      </w:r>
      <w:r w:rsidR="00056753" w:rsidRPr="009F5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</w:t>
      </w:r>
      <w:r w:rsidR="00BE4520" w:rsidRPr="00DE2908">
        <w:rPr>
          <w:rFonts w:ascii="Times New Roman" w:hAnsi="Times New Roman"/>
          <w:sz w:val="28"/>
          <w:szCs w:val="28"/>
        </w:rPr>
        <w:t xml:space="preserve"> </w:t>
      </w:r>
      <w:r w:rsidR="00CE55DD" w:rsidRPr="00DE2908">
        <w:rPr>
          <w:rFonts w:ascii="Times New Roman" w:hAnsi="Times New Roman"/>
          <w:sz w:val="28"/>
          <w:szCs w:val="28"/>
        </w:rPr>
        <w:t>20</w:t>
      </w:r>
      <w:r w:rsidR="00865D2C" w:rsidRPr="00DE2908">
        <w:rPr>
          <w:rFonts w:ascii="Times New Roman" w:hAnsi="Times New Roman"/>
          <w:sz w:val="28"/>
          <w:szCs w:val="28"/>
        </w:rPr>
        <w:t>2</w:t>
      </w:r>
      <w:r w:rsidR="002716D7">
        <w:rPr>
          <w:rFonts w:ascii="Times New Roman" w:hAnsi="Times New Roman"/>
          <w:sz w:val="28"/>
          <w:szCs w:val="28"/>
        </w:rPr>
        <w:t>5</w:t>
      </w:r>
      <w:r w:rsidR="00BE4520" w:rsidRPr="00DE290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="00BE4520" w:rsidRPr="00DE2908">
        <w:rPr>
          <w:rFonts w:ascii="Times New Roman" w:hAnsi="Times New Roman"/>
          <w:sz w:val="28"/>
          <w:szCs w:val="28"/>
        </w:rPr>
        <w:t xml:space="preserve"> </w:t>
      </w:r>
      <w:r w:rsidRPr="009F577B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О</w:t>
      </w:r>
      <w:r w:rsidRPr="009F577B">
        <w:rPr>
          <w:rFonts w:ascii="Times New Roman" w:hAnsi="Times New Roman"/>
          <w:sz w:val="28"/>
          <w:szCs w:val="28"/>
        </w:rPr>
        <w:t xml:space="preserve">тчет) </w:t>
      </w:r>
      <w:r w:rsidR="00BE4520" w:rsidRPr="00DE2908">
        <w:rPr>
          <w:rFonts w:ascii="Times New Roman" w:hAnsi="Times New Roman"/>
          <w:sz w:val="28"/>
          <w:szCs w:val="28"/>
        </w:rPr>
        <w:t xml:space="preserve">подготовлен </w:t>
      </w:r>
      <w:r w:rsidR="007E3C2B" w:rsidRPr="00DE2908">
        <w:rPr>
          <w:rFonts w:ascii="Times New Roman" w:hAnsi="Times New Roman"/>
          <w:sz w:val="28"/>
          <w:szCs w:val="28"/>
        </w:rPr>
        <w:t xml:space="preserve">Министерством </w:t>
      </w:r>
      <w:r w:rsidR="002716D7" w:rsidRPr="002716D7">
        <w:rPr>
          <w:rFonts w:ascii="Times New Roman" w:hAnsi="Times New Roman"/>
          <w:sz w:val="28"/>
          <w:szCs w:val="28"/>
        </w:rPr>
        <w:t>градостроительной политики, имущественных и земельных отношений Курской области</w:t>
      </w:r>
      <w:r w:rsidR="002716D7">
        <w:rPr>
          <w:rFonts w:ascii="Times New Roman" w:hAnsi="Times New Roman"/>
          <w:sz w:val="28"/>
          <w:szCs w:val="28"/>
        </w:rPr>
        <w:t xml:space="preserve"> </w:t>
      </w:r>
      <w:r w:rsidR="00BE4520" w:rsidRPr="009F577B">
        <w:rPr>
          <w:rFonts w:ascii="Times New Roman" w:hAnsi="Times New Roman"/>
          <w:sz w:val="28"/>
          <w:szCs w:val="28"/>
        </w:rPr>
        <w:t>в соответствии со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 Администрации Курской области </w:t>
      </w:r>
      <w:r w:rsidR="00CE55DD" w:rsidRPr="009F577B">
        <w:rPr>
          <w:rFonts w:ascii="Times New Roman" w:hAnsi="Times New Roman"/>
          <w:color w:val="000000"/>
          <w:sz w:val="28"/>
          <w:szCs w:val="28"/>
        </w:rPr>
        <w:t xml:space="preserve">от 17 июля 2014 года 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>№ 430-па «</w:t>
      </w:r>
      <w:r w:rsidR="0054058B" w:rsidRPr="009F577B">
        <w:rPr>
          <w:rFonts w:ascii="Times New Roman" w:hAnsi="Times New Roman"/>
          <w:color w:val="000000"/>
          <w:sz w:val="28"/>
          <w:szCs w:val="28"/>
        </w:rPr>
        <w:t>О мониторинге закупок для обеспечения нужд Курской области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>»</w:t>
      </w:r>
      <w:r w:rsidR="005E7314"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№430-па)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>.</w:t>
      </w:r>
    </w:p>
    <w:p w:rsidR="00BE4520" w:rsidRPr="009F577B" w:rsidRDefault="00BE4520" w:rsidP="001F6D9A">
      <w:pPr>
        <w:pStyle w:val="ab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F577B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F577B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</w:t>
      </w:r>
      <w:r w:rsidR="00547A61">
        <w:rPr>
          <w:rFonts w:ascii="Times New Roman" w:hAnsi="Times New Roman"/>
          <w:sz w:val="28"/>
          <w:szCs w:val="28"/>
        </w:rPr>
        <w:t xml:space="preserve"> об осуществлении закупок </w:t>
      </w:r>
      <w:r w:rsidR="00547A61" w:rsidRPr="00762D4D">
        <w:rPr>
          <w:rFonts w:ascii="Times New Roman" w:hAnsi="Times New Roman"/>
          <w:sz w:val="28"/>
          <w:szCs w:val="28"/>
        </w:rPr>
        <w:t>заказчик</w:t>
      </w:r>
      <w:r w:rsidR="00547A61">
        <w:rPr>
          <w:rFonts w:ascii="Times New Roman" w:hAnsi="Times New Roman"/>
          <w:sz w:val="28"/>
          <w:szCs w:val="28"/>
        </w:rPr>
        <w:t>ами</w:t>
      </w:r>
      <w:r w:rsidR="00547A61" w:rsidRPr="00762D4D">
        <w:rPr>
          <w:rFonts w:ascii="Times New Roman" w:hAnsi="Times New Roman"/>
          <w:sz w:val="28"/>
          <w:szCs w:val="28"/>
        </w:rPr>
        <w:t xml:space="preserve"> Курской области</w:t>
      </w:r>
      <w:r w:rsidR="00547A61">
        <w:rPr>
          <w:rFonts w:ascii="Times New Roman" w:hAnsi="Times New Roman"/>
          <w:sz w:val="28"/>
          <w:szCs w:val="28"/>
        </w:rPr>
        <w:t>, к</w:t>
      </w:r>
      <w:r w:rsidR="003540C6">
        <w:rPr>
          <w:rFonts w:ascii="Times New Roman" w:hAnsi="Times New Roman"/>
          <w:sz w:val="28"/>
          <w:szCs w:val="28"/>
        </w:rPr>
        <w:t xml:space="preserve">атегории которых определены в пункте </w:t>
      </w:r>
      <w:r w:rsidR="00547A61">
        <w:rPr>
          <w:rFonts w:ascii="Times New Roman" w:hAnsi="Times New Roman"/>
          <w:sz w:val="28"/>
          <w:szCs w:val="28"/>
        </w:rPr>
        <w:t>3 Постановления №430-па и не включают</w:t>
      </w:r>
      <w:r w:rsidR="00547A61" w:rsidRPr="00762D4D">
        <w:rPr>
          <w:rFonts w:ascii="Times New Roman" w:hAnsi="Times New Roman"/>
          <w:sz w:val="28"/>
          <w:szCs w:val="28"/>
        </w:rPr>
        <w:t xml:space="preserve"> муниципальны</w:t>
      </w:r>
      <w:r w:rsidR="00547A61">
        <w:rPr>
          <w:rFonts w:ascii="Times New Roman" w:hAnsi="Times New Roman"/>
          <w:sz w:val="28"/>
          <w:szCs w:val="28"/>
        </w:rPr>
        <w:t>й уровень</w:t>
      </w:r>
      <w:r w:rsidR="00547A61" w:rsidRPr="00762D4D">
        <w:rPr>
          <w:rFonts w:ascii="Times New Roman" w:hAnsi="Times New Roman"/>
          <w:sz w:val="28"/>
          <w:szCs w:val="28"/>
        </w:rPr>
        <w:t xml:space="preserve"> заказчиков</w:t>
      </w:r>
      <w:r w:rsidR="00547A61">
        <w:rPr>
          <w:rFonts w:ascii="Times New Roman" w:hAnsi="Times New Roman"/>
          <w:sz w:val="28"/>
          <w:szCs w:val="28"/>
        </w:rPr>
        <w:t xml:space="preserve"> (далее – государственные заказчики Курской области)</w:t>
      </w:r>
      <w:r w:rsidRPr="009F577B">
        <w:rPr>
          <w:rFonts w:ascii="Times New Roman" w:hAnsi="Times New Roman"/>
          <w:sz w:val="28"/>
          <w:szCs w:val="28"/>
        </w:rPr>
        <w:t>.</w:t>
      </w:r>
    </w:p>
    <w:p w:rsidR="00A700EB" w:rsidRPr="009F577B" w:rsidRDefault="00A700EB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1AD" w:rsidRDefault="005D3C88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1607CC" w:rsidRPr="001607CC" w:rsidRDefault="001607CC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E7E" w:rsidRPr="00762D4D" w:rsidRDefault="005E7314" w:rsidP="001F6D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D017E1" w:rsidRPr="00762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содержащихся</w:t>
      </w:r>
      <w:r w:rsidR="003E5381">
        <w:rPr>
          <w:rFonts w:ascii="Times New Roman" w:hAnsi="Times New Roman" w:cs="Times New Roman"/>
          <w:sz w:val="28"/>
          <w:szCs w:val="28"/>
        </w:rPr>
        <w:t xml:space="preserve"> в</w:t>
      </w:r>
      <w:r w:rsidR="00D017E1" w:rsidRPr="00762D4D">
        <w:rPr>
          <w:rFonts w:ascii="Times New Roman" w:hAnsi="Times New Roman" w:cs="Times New Roman"/>
          <w:sz w:val="28"/>
          <w:szCs w:val="28"/>
        </w:rPr>
        <w:t xml:space="preserve"> ЕИС</w:t>
      </w:r>
      <w:r w:rsidR="00E2417F">
        <w:rPr>
          <w:rFonts w:ascii="Times New Roman" w:hAnsi="Times New Roman" w:cs="Times New Roman"/>
          <w:sz w:val="28"/>
          <w:szCs w:val="28"/>
        </w:rPr>
        <w:t>,</w:t>
      </w:r>
      <w:r w:rsidR="00D017E1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FF2E7E" w:rsidRPr="00762D4D">
        <w:rPr>
          <w:rFonts w:ascii="Times New Roman" w:hAnsi="Times New Roman" w:cs="Times New Roman"/>
          <w:sz w:val="28"/>
          <w:szCs w:val="28"/>
        </w:rPr>
        <w:t xml:space="preserve">в </w:t>
      </w:r>
      <w:r w:rsidR="00FF2E7E" w:rsidRPr="004A0B58">
        <w:rPr>
          <w:rFonts w:ascii="Times New Roman" w:hAnsi="Times New Roman" w:cs="Times New Roman"/>
          <w:b/>
          <w:sz w:val="28"/>
          <w:szCs w:val="28"/>
        </w:rPr>
        <w:t>202</w:t>
      </w:r>
      <w:r w:rsidR="00081F87">
        <w:rPr>
          <w:rFonts w:ascii="Times New Roman" w:hAnsi="Times New Roman" w:cs="Times New Roman"/>
          <w:b/>
          <w:sz w:val="28"/>
          <w:szCs w:val="28"/>
        </w:rPr>
        <w:t>5</w:t>
      </w:r>
      <w:r w:rsidR="000B0DFD" w:rsidRPr="004A0B58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0B0DFD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547A61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6F1E24" w:rsidRPr="00986602">
        <w:rPr>
          <w:rFonts w:ascii="Times New Roman" w:hAnsi="Times New Roman" w:cs="Times New Roman"/>
          <w:sz w:val="28"/>
          <w:szCs w:val="28"/>
        </w:rPr>
        <w:t>(без учета заказчиков муниципального уровня)</w:t>
      </w:r>
      <w:r w:rsidR="006F1E24">
        <w:rPr>
          <w:rFonts w:ascii="Times New Roman" w:hAnsi="Times New Roman" w:cs="Times New Roman"/>
          <w:sz w:val="28"/>
          <w:szCs w:val="28"/>
        </w:rPr>
        <w:t xml:space="preserve"> </w:t>
      </w:r>
      <w:r w:rsidR="000B0DFD" w:rsidRPr="00762D4D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4E6F7F" w:rsidRPr="004E6F7F">
        <w:rPr>
          <w:rFonts w:ascii="Times New Roman" w:hAnsi="Times New Roman" w:cs="Times New Roman"/>
          <w:b/>
          <w:sz w:val="28"/>
          <w:szCs w:val="28"/>
        </w:rPr>
        <w:t>14 245</w:t>
      </w:r>
      <w:r w:rsidR="00FF2E7E" w:rsidRPr="004A0B58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 w:rsidR="00922FAE">
        <w:rPr>
          <w:rFonts w:ascii="Times New Roman" w:hAnsi="Times New Roman" w:cs="Times New Roman"/>
          <w:b/>
          <w:sz w:val="28"/>
          <w:szCs w:val="28"/>
        </w:rPr>
        <w:t>й</w:t>
      </w:r>
      <w:r w:rsidR="00FF2E7E" w:rsidRPr="00762D4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4E6F7F" w:rsidRPr="004E6F7F">
        <w:rPr>
          <w:rFonts w:ascii="Times New Roman" w:hAnsi="Times New Roman" w:cs="Times New Roman"/>
          <w:b/>
          <w:sz w:val="28"/>
          <w:szCs w:val="28"/>
        </w:rPr>
        <w:t>40</w:t>
      </w:r>
      <w:r w:rsidR="004E6F7F">
        <w:rPr>
          <w:rFonts w:ascii="Times New Roman" w:hAnsi="Times New Roman" w:cs="Times New Roman"/>
          <w:b/>
          <w:sz w:val="28"/>
          <w:szCs w:val="28"/>
        </w:rPr>
        <w:t> </w:t>
      </w:r>
      <w:r w:rsidR="004E6F7F" w:rsidRPr="004E6F7F">
        <w:rPr>
          <w:rFonts w:ascii="Times New Roman" w:hAnsi="Times New Roman" w:cs="Times New Roman"/>
          <w:b/>
          <w:sz w:val="28"/>
          <w:szCs w:val="28"/>
        </w:rPr>
        <w:t>266</w:t>
      </w:r>
      <w:r w:rsidR="004E6F7F">
        <w:rPr>
          <w:rFonts w:ascii="Times New Roman" w:hAnsi="Times New Roman" w:cs="Times New Roman"/>
          <w:b/>
          <w:sz w:val="28"/>
          <w:szCs w:val="28"/>
        </w:rPr>
        <w:t>,</w:t>
      </w:r>
      <w:r w:rsidR="004E6F7F" w:rsidRPr="004E6F7F">
        <w:rPr>
          <w:rFonts w:ascii="Times New Roman" w:hAnsi="Times New Roman" w:cs="Times New Roman"/>
          <w:b/>
          <w:sz w:val="28"/>
          <w:szCs w:val="28"/>
        </w:rPr>
        <w:t>7</w:t>
      </w:r>
      <w:r w:rsidR="004E6F7F">
        <w:rPr>
          <w:rFonts w:ascii="Times New Roman" w:hAnsi="Times New Roman" w:cs="Times New Roman"/>
          <w:b/>
          <w:sz w:val="28"/>
          <w:szCs w:val="28"/>
        </w:rPr>
        <w:t>9</w:t>
      </w:r>
      <w:r w:rsidR="002D1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E7E" w:rsidRPr="004A0B58">
        <w:rPr>
          <w:rFonts w:ascii="Times New Roman" w:hAnsi="Times New Roman" w:cs="Times New Roman"/>
          <w:b/>
          <w:sz w:val="28"/>
          <w:szCs w:val="28"/>
        </w:rPr>
        <w:t>млн. руб.,</w:t>
      </w:r>
      <w:r w:rsidR="00FF2E7E" w:rsidRPr="00762D4D">
        <w:rPr>
          <w:rFonts w:ascii="Times New Roman" w:hAnsi="Times New Roman" w:cs="Times New Roman"/>
          <w:sz w:val="28"/>
          <w:szCs w:val="28"/>
        </w:rPr>
        <w:t xml:space="preserve"> из них:</w:t>
      </w:r>
      <w:r w:rsidR="00094399"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E7E" w:rsidRDefault="00FF2E7E" w:rsidP="001F6D9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– </w:t>
      </w:r>
      <w:r w:rsidR="00CD7BB6" w:rsidRPr="00CD7BB6">
        <w:rPr>
          <w:rFonts w:ascii="Times New Roman" w:hAnsi="Times New Roman" w:cs="Times New Roman"/>
          <w:b/>
          <w:sz w:val="28"/>
          <w:szCs w:val="28"/>
        </w:rPr>
        <w:t>2</w:t>
      </w:r>
      <w:r w:rsidR="00081F87">
        <w:rPr>
          <w:rFonts w:ascii="Times New Roman" w:hAnsi="Times New Roman" w:cs="Times New Roman"/>
          <w:b/>
          <w:sz w:val="28"/>
          <w:szCs w:val="28"/>
        </w:rPr>
        <w:t xml:space="preserve"> 286 </w:t>
      </w:r>
      <w:r w:rsidRPr="004A0B58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081F87">
        <w:rPr>
          <w:rFonts w:ascii="Times New Roman" w:hAnsi="Times New Roman" w:cs="Times New Roman"/>
          <w:b/>
          <w:sz w:val="28"/>
          <w:szCs w:val="28"/>
        </w:rPr>
        <w:t>й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 проведении малых закупок, осуществляемых в случаях, установленных пунктами 4, 5 части 1 </w:t>
      </w:r>
      <w:r w:rsidR="00081F87">
        <w:rPr>
          <w:rFonts w:ascii="Times New Roman" w:hAnsi="Times New Roman" w:cs="Times New Roman"/>
          <w:sz w:val="28"/>
          <w:szCs w:val="28"/>
        </w:rPr>
        <w:t>статьи 93 Федерального закона №</w:t>
      </w:r>
      <w:r w:rsidRPr="00762D4D">
        <w:rPr>
          <w:rFonts w:ascii="Times New Roman" w:hAnsi="Times New Roman" w:cs="Times New Roman"/>
          <w:sz w:val="28"/>
          <w:szCs w:val="28"/>
        </w:rPr>
        <w:t xml:space="preserve">44-ФЗ на сумму </w:t>
      </w:r>
      <w:r w:rsidR="00081F87">
        <w:rPr>
          <w:rFonts w:ascii="Times New Roman" w:hAnsi="Times New Roman" w:cs="Times New Roman"/>
          <w:b/>
          <w:sz w:val="28"/>
          <w:szCs w:val="28"/>
        </w:rPr>
        <w:t>473,38</w:t>
      </w:r>
      <w:r w:rsidRPr="004A0B58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762D4D">
        <w:rPr>
          <w:rFonts w:ascii="Times New Roman" w:hAnsi="Times New Roman" w:cs="Times New Roman"/>
          <w:sz w:val="28"/>
          <w:szCs w:val="28"/>
        </w:rPr>
        <w:t xml:space="preserve"> с использованием программного модуля </w:t>
      </w:r>
      <w:r w:rsidRPr="00547A61">
        <w:rPr>
          <w:rFonts w:ascii="Times New Roman" w:hAnsi="Times New Roman" w:cs="Times New Roman"/>
          <w:sz w:val="28"/>
          <w:szCs w:val="28"/>
        </w:rPr>
        <w:t>«Малые закупки»</w:t>
      </w:r>
      <w:r w:rsidR="00547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A61" w:rsidRPr="009F577B">
        <w:rPr>
          <w:rFonts w:ascii="Times New Roman" w:hAnsi="Times New Roman"/>
          <w:sz w:val="28"/>
          <w:szCs w:val="28"/>
        </w:rPr>
        <w:t>РИС «Торги Курской области»</w:t>
      </w:r>
      <w:r w:rsidRPr="004A0B58">
        <w:rPr>
          <w:rFonts w:ascii="Times New Roman" w:hAnsi="Times New Roman" w:cs="Times New Roman"/>
          <w:b/>
          <w:sz w:val="28"/>
          <w:szCs w:val="28"/>
        </w:rPr>
        <w:t>;</w:t>
      </w:r>
    </w:p>
    <w:p w:rsidR="002D1F98" w:rsidRPr="00762D4D" w:rsidRDefault="002D1F98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F87">
        <w:rPr>
          <w:rFonts w:ascii="Times New Roman" w:hAnsi="Times New Roman" w:cs="Times New Roman"/>
          <w:b/>
          <w:sz w:val="28"/>
          <w:szCs w:val="28"/>
        </w:rPr>
        <w:t>896</w:t>
      </w:r>
      <w:r w:rsidR="00CD7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BFB">
        <w:rPr>
          <w:rFonts w:ascii="Times New Roman" w:hAnsi="Times New Roman" w:cs="Times New Roman"/>
          <w:b/>
          <w:sz w:val="28"/>
          <w:szCs w:val="28"/>
        </w:rPr>
        <w:t>извещений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закупок товаров </w:t>
      </w:r>
      <w:r w:rsidRPr="00CF7BFB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CF7BFB">
        <w:rPr>
          <w:rFonts w:ascii="Times New Roman" w:hAnsi="Times New Roman" w:cs="Times New Roman"/>
          <w:sz w:val="28"/>
          <w:szCs w:val="28"/>
        </w:rPr>
        <w:t xml:space="preserve"> частью 12 статьи 93 Закона № 44-ФЗ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7BFB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081F87">
        <w:rPr>
          <w:rFonts w:ascii="Times New Roman" w:hAnsi="Times New Roman" w:cs="Times New Roman"/>
          <w:b/>
          <w:sz w:val="28"/>
          <w:szCs w:val="28"/>
        </w:rPr>
        <w:t>427,80</w:t>
      </w:r>
      <w:r w:rsidRPr="00CF7BFB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CD7BB6">
        <w:rPr>
          <w:rFonts w:ascii="Times New Roman" w:hAnsi="Times New Roman" w:cs="Times New Roman"/>
          <w:b/>
          <w:sz w:val="28"/>
          <w:szCs w:val="28"/>
        </w:rPr>
        <w:t>.</w:t>
      </w:r>
      <w:r w:rsidRPr="00CF7BFB">
        <w:rPr>
          <w:rFonts w:ascii="Times New Roman" w:hAnsi="Times New Roman" w:cs="Times New Roman"/>
          <w:b/>
          <w:sz w:val="28"/>
          <w:szCs w:val="28"/>
        </w:rPr>
        <w:t>;</w:t>
      </w:r>
      <w:r w:rsidR="00B256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E7E" w:rsidRPr="00762D4D" w:rsidRDefault="00FF2E7E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– </w:t>
      </w:r>
      <w:r w:rsidR="00081F87">
        <w:rPr>
          <w:rFonts w:ascii="Times New Roman" w:hAnsi="Times New Roman" w:cs="Times New Roman"/>
          <w:b/>
          <w:sz w:val="28"/>
          <w:szCs w:val="28"/>
        </w:rPr>
        <w:t xml:space="preserve">11 063 </w:t>
      </w:r>
      <w:r w:rsidRPr="004A0B58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B24DFC">
        <w:rPr>
          <w:rFonts w:ascii="Times New Roman" w:hAnsi="Times New Roman" w:cs="Times New Roman"/>
          <w:b/>
          <w:sz w:val="28"/>
          <w:szCs w:val="28"/>
        </w:rPr>
        <w:t>я</w:t>
      </w:r>
      <w:r w:rsidRPr="00762D4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81F87">
        <w:rPr>
          <w:rFonts w:ascii="Times New Roman" w:hAnsi="Times New Roman" w:cs="Times New Roman"/>
          <w:b/>
          <w:sz w:val="28"/>
          <w:szCs w:val="28"/>
        </w:rPr>
        <w:t>39</w:t>
      </w:r>
      <w:r w:rsidR="004E6F7F">
        <w:rPr>
          <w:rFonts w:ascii="Times New Roman" w:hAnsi="Times New Roman" w:cs="Times New Roman"/>
          <w:b/>
          <w:sz w:val="28"/>
          <w:szCs w:val="28"/>
        </w:rPr>
        <w:t> 365,61</w:t>
      </w:r>
      <w:r w:rsidR="00922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B58">
        <w:rPr>
          <w:rFonts w:ascii="Times New Roman" w:hAnsi="Times New Roman" w:cs="Times New Roman"/>
          <w:b/>
          <w:sz w:val="28"/>
          <w:szCs w:val="28"/>
        </w:rPr>
        <w:t>млн. руб.</w:t>
      </w:r>
      <w:r w:rsidRPr="00762D4D">
        <w:rPr>
          <w:rFonts w:ascii="Times New Roman" w:hAnsi="Times New Roman" w:cs="Times New Roman"/>
          <w:sz w:val="28"/>
          <w:szCs w:val="28"/>
        </w:rPr>
        <w:t xml:space="preserve"> конкурентными сп</w:t>
      </w:r>
      <w:r w:rsidR="002951DB" w:rsidRPr="00762D4D">
        <w:rPr>
          <w:rFonts w:ascii="Times New Roman" w:hAnsi="Times New Roman" w:cs="Times New Roman"/>
          <w:sz w:val="28"/>
          <w:szCs w:val="28"/>
        </w:rPr>
        <w:t xml:space="preserve">особами определения поставщика. </w:t>
      </w:r>
    </w:p>
    <w:p w:rsidR="00556B2E" w:rsidRDefault="00556B2E" w:rsidP="00920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В </w:t>
      </w:r>
      <w:r w:rsidR="00874318" w:rsidRPr="00762D4D">
        <w:rPr>
          <w:rFonts w:ascii="Times New Roman" w:hAnsi="Times New Roman" w:cs="Times New Roman"/>
          <w:sz w:val="28"/>
          <w:szCs w:val="28"/>
        </w:rPr>
        <w:t>20</w:t>
      </w:r>
      <w:r w:rsidR="00FB6A9D" w:rsidRPr="00762D4D">
        <w:rPr>
          <w:rFonts w:ascii="Times New Roman" w:hAnsi="Times New Roman" w:cs="Times New Roman"/>
          <w:sz w:val="28"/>
          <w:szCs w:val="28"/>
        </w:rPr>
        <w:t>2</w:t>
      </w:r>
      <w:r w:rsidR="004E6F7F">
        <w:rPr>
          <w:rFonts w:ascii="Times New Roman" w:hAnsi="Times New Roman" w:cs="Times New Roman"/>
          <w:sz w:val="28"/>
          <w:szCs w:val="28"/>
        </w:rPr>
        <w:t>5</w:t>
      </w:r>
      <w:r w:rsidR="000863C7">
        <w:rPr>
          <w:rFonts w:ascii="Times New Roman" w:hAnsi="Times New Roman" w:cs="Times New Roman"/>
          <w:sz w:val="28"/>
          <w:szCs w:val="28"/>
        </w:rPr>
        <w:t xml:space="preserve"> </w:t>
      </w:r>
      <w:r w:rsidR="00874318" w:rsidRPr="00762D4D">
        <w:rPr>
          <w:rFonts w:ascii="Times New Roman" w:hAnsi="Times New Roman" w:cs="Times New Roman"/>
          <w:sz w:val="28"/>
          <w:szCs w:val="28"/>
        </w:rPr>
        <w:t>году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FB6A9D" w:rsidRPr="00762D4D">
        <w:rPr>
          <w:rFonts w:ascii="Times New Roman" w:hAnsi="Times New Roman" w:cs="Times New Roman"/>
          <w:sz w:val="28"/>
          <w:szCs w:val="28"/>
        </w:rPr>
        <w:t xml:space="preserve">электронный аукцион, </w:t>
      </w:r>
      <w:r w:rsidRPr="00762D4D">
        <w:rPr>
          <w:rFonts w:ascii="Times New Roman" w:hAnsi="Times New Roman" w:cs="Times New Roman"/>
          <w:sz w:val="28"/>
          <w:szCs w:val="28"/>
        </w:rPr>
        <w:t>открытый конкурс</w:t>
      </w:r>
      <w:r w:rsidR="000B79C7" w:rsidRPr="00762D4D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762D4D">
        <w:rPr>
          <w:rFonts w:ascii="Times New Roman" w:hAnsi="Times New Roman" w:cs="Times New Roman"/>
          <w:sz w:val="28"/>
          <w:szCs w:val="28"/>
        </w:rPr>
        <w:t>, запрос котировок</w:t>
      </w:r>
      <w:r w:rsidR="008670AE" w:rsidRPr="00762D4D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762D4D">
        <w:rPr>
          <w:rFonts w:ascii="Times New Roman" w:hAnsi="Times New Roman" w:cs="Times New Roman"/>
          <w:sz w:val="28"/>
          <w:szCs w:val="28"/>
        </w:rPr>
        <w:t xml:space="preserve">, </w:t>
      </w:r>
      <w:r w:rsidRPr="00762D4D">
        <w:rPr>
          <w:rFonts w:ascii="Times New Roman" w:hAnsi="Times New Roman" w:cs="Times New Roman"/>
          <w:sz w:val="28"/>
          <w:szCs w:val="28"/>
        </w:rPr>
        <w:lastRenderedPageBreak/>
        <w:t>закупка у единственного поставщика (подрядчика, исполнителя)</w:t>
      </w:r>
      <w:r w:rsidR="00F61DEC">
        <w:rPr>
          <w:rFonts w:ascii="Times New Roman" w:hAnsi="Times New Roman" w:cs="Times New Roman"/>
          <w:sz w:val="28"/>
          <w:szCs w:val="28"/>
        </w:rPr>
        <w:t xml:space="preserve">, в </w:t>
      </w:r>
      <w:r w:rsidR="00F61DEC" w:rsidRPr="00E32C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том числе</w:t>
      </w:r>
      <w:r w:rsidR="00FB6A9D" w:rsidRPr="00E32C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B6A9D" w:rsidRPr="00E32CC4">
        <w:rPr>
          <w:rFonts w:ascii="Times New Roman" w:hAnsi="Times New Roman" w:cs="Times New Roman"/>
          <w:sz w:val="28"/>
          <w:szCs w:val="28"/>
        </w:rPr>
        <w:t>с использованием модуля «Малые закупки»</w:t>
      </w:r>
      <w:r w:rsidR="00547A61">
        <w:rPr>
          <w:rFonts w:ascii="Times New Roman" w:hAnsi="Times New Roman" w:cs="Times New Roman"/>
          <w:sz w:val="28"/>
          <w:szCs w:val="28"/>
        </w:rPr>
        <w:t xml:space="preserve"> </w:t>
      </w:r>
      <w:r w:rsidR="00547A61" w:rsidRPr="00920D64">
        <w:rPr>
          <w:rFonts w:ascii="Times New Roman" w:hAnsi="Times New Roman" w:cs="Times New Roman"/>
          <w:sz w:val="28"/>
          <w:szCs w:val="28"/>
        </w:rPr>
        <w:t>РИС «Торги Курской области»</w:t>
      </w:r>
      <w:r w:rsidRPr="00E32CC4">
        <w:rPr>
          <w:rFonts w:ascii="Times New Roman" w:hAnsi="Times New Roman" w:cs="Times New Roman"/>
          <w:sz w:val="28"/>
          <w:szCs w:val="28"/>
        </w:rPr>
        <w:t>.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D64" w:rsidRPr="00235F91" w:rsidRDefault="00920D64" w:rsidP="00920D6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АО «РАД», АО «ЕЭТП»,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«Фабрикант», ЭТП «РТС-тендер», ЭТП «ТЭК - Торг», ЭТП «ГПБ».</w:t>
      </w:r>
    </w:p>
    <w:p w:rsidR="006B5B07" w:rsidRPr="001607CC" w:rsidRDefault="006B5B07" w:rsidP="00920D6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7CC">
        <w:rPr>
          <w:rFonts w:ascii="Times New Roman" w:hAnsi="Times New Roman" w:cs="Times New Roman"/>
          <w:b/>
          <w:sz w:val="28"/>
          <w:szCs w:val="28"/>
        </w:rPr>
        <w:t>По данным ЕИС в отчетном периоде:</w:t>
      </w:r>
    </w:p>
    <w:p w:rsidR="006B5B07" w:rsidRPr="00762D4D" w:rsidRDefault="004E6F7F" w:rsidP="001F6D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483E">
        <w:rPr>
          <w:rFonts w:ascii="Times New Roman" w:hAnsi="Times New Roman" w:cs="Times New Roman"/>
          <w:b/>
          <w:sz w:val="28"/>
          <w:szCs w:val="24"/>
        </w:rPr>
        <w:t>9 006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</w:rPr>
        <w:t>извещени</w:t>
      </w:r>
      <w:r w:rsidR="00B24DFC">
        <w:rPr>
          <w:rFonts w:ascii="Times New Roman" w:hAnsi="Times New Roman" w:cs="Times New Roman"/>
          <w:sz w:val="28"/>
          <w:szCs w:val="28"/>
        </w:rPr>
        <w:t>й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ым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4E6F7F"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>21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> </w:t>
      </w:r>
      <w:r w:rsidRPr="004E6F7F"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>094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>,44</w:t>
      </w:r>
      <w:r w:rsidRPr="004E6F7F"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 xml:space="preserve"> </w:t>
      </w:r>
      <w:r w:rsidR="006B5B07" w:rsidRPr="001607C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6B5B07" w:rsidRPr="00762D4D">
        <w:rPr>
          <w:rFonts w:ascii="Times New Roman" w:hAnsi="Times New Roman" w:cs="Times New Roman"/>
          <w:sz w:val="28"/>
          <w:szCs w:val="28"/>
        </w:rPr>
        <w:t>. (</w:t>
      </w:r>
      <w:r w:rsidR="00B24DFC">
        <w:rPr>
          <w:rFonts w:ascii="Times New Roman" w:hAnsi="Times New Roman" w:cs="Times New Roman"/>
          <w:sz w:val="28"/>
          <w:szCs w:val="28"/>
        </w:rPr>
        <w:t>53</w:t>
      </w:r>
      <w:r w:rsidR="005B1B36">
        <w:rPr>
          <w:rFonts w:ascii="Times New Roman" w:hAnsi="Times New Roman" w:cs="Times New Roman"/>
          <w:sz w:val="28"/>
          <w:szCs w:val="28"/>
        </w:rPr>
        <w:t>,59</w:t>
      </w:r>
      <w:r w:rsidR="0042552B">
        <w:rPr>
          <w:rFonts w:ascii="Times New Roman" w:hAnsi="Times New Roman" w:cs="Times New Roman"/>
          <w:sz w:val="28"/>
          <w:szCs w:val="28"/>
        </w:rPr>
        <w:t>%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</w:rPr>
        <w:t>от общего</w:t>
      </w:r>
      <w:r w:rsidR="00036F7F" w:rsidRPr="00762D4D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стоимостного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</w:rPr>
        <w:t>объема извещений</w:t>
      </w:r>
      <w:r w:rsidR="00F61DEC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конкурентными способами) было размещено </w:t>
      </w:r>
      <w:r w:rsidR="00201866">
        <w:rPr>
          <w:rFonts w:ascii="Times New Roman" w:hAnsi="Times New Roman" w:cs="Times New Roman"/>
          <w:sz w:val="28"/>
          <w:szCs w:val="28"/>
        </w:rPr>
        <w:t>для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695BE7">
        <w:rPr>
          <w:rFonts w:ascii="Times New Roman" w:hAnsi="Times New Roman" w:cs="Times New Roman"/>
          <w:sz w:val="28"/>
          <w:szCs w:val="28"/>
        </w:rPr>
        <w:t xml:space="preserve"> </w:t>
      </w:r>
      <w:r w:rsidR="00695BE7" w:rsidRPr="00695BE7">
        <w:rPr>
          <w:rFonts w:ascii="Times New Roman" w:hAnsi="Times New Roman" w:cs="Times New Roman"/>
          <w:sz w:val="28"/>
          <w:szCs w:val="28"/>
        </w:rPr>
        <w:t>закуп</w:t>
      </w:r>
      <w:r w:rsidR="00695BE7">
        <w:rPr>
          <w:rFonts w:ascii="Times New Roman" w:hAnsi="Times New Roman" w:cs="Times New Roman"/>
          <w:sz w:val="28"/>
          <w:szCs w:val="28"/>
        </w:rPr>
        <w:t>ок</w:t>
      </w:r>
      <w:r w:rsidR="00695BE7" w:rsidRPr="00695BE7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6B5B07" w:rsidRPr="00762D4D">
        <w:rPr>
          <w:rFonts w:ascii="Times New Roman" w:hAnsi="Times New Roman" w:cs="Times New Roman"/>
          <w:sz w:val="28"/>
          <w:szCs w:val="28"/>
        </w:rPr>
        <w:t>;</w:t>
      </w:r>
    </w:p>
    <w:p w:rsidR="0043628C" w:rsidRPr="00762D4D" w:rsidRDefault="004E6F7F" w:rsidP="001F6D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D17"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>2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>94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A452E3">
        <w:rPr>
          <w:rFonts w:ascii="Times New Roman" w:hAnsi="Times New Roman" w:cs="Times New Roman"/>
          <w:sz w:val="28"/>
          <w:szCs w:val="28"/>
        </w:rPr>
        <w:t>я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ым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 xml:space="preserve">16 412,50 </w:t>
      </w:r>
      <w:r w:rsidR="0043628C" w:rsidRPr="001607C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D815E6" w:rsidRPr="001607CC">
        <w:rPr>
          <w:rFonts w:ascii="Times New Roman" w:hAnsi="Times New Roman" w:cs="Times New Roman"/>
          <w:b/>
          <w:sz w:val="28"/>
          <w:szCs w:val="28"/>
        </w:rPr>
        <w:t>.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 (</w:t>
      </w:r>
      <w:r w:rsidR="00B24DFC">
        <w:rPr>
          <w:rFonts w:ascii="Times New Roman" w:hAnsi="Times New Roman" w:cs="Times New Roman"/>
          <w:sz w:val="28"/>
          <w:szCs w:val="28"/>
        </w:rPr>
        <w:t>41,69</w:t>
      </w:r>
      <w:r w:rsidR="0043628C" w:rsidRPr="00762D4D">
        <w:rPr>
          <w:rFonts w:ascii="Times New Roman" w:hAnsi="Times New Roman" w:cs="Times New Roman"/>
          <w:sz w:val="28"/>
          <w:szCs w:val="28"/>
        </w:rPr>
        <w:t>% от общего</w:t>
      </w:r>
      <w:r w:rsidR="00036F7F" w:rsidRPr="00762D4D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ого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</w:rPr>
        <w:t>объема извещений</w:t>
      </w:r>
      <w:r w:rsidR="00F61DEC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конкурентными способами) было размещено </w:t>
      </w:r>
      <w:r w:rsidR="00695BE7">
        <w:rPr>
          <w:rFonts w:ascii="Times New Roman" w:hAnsi="Times New Roman" w:cs="Times New Roman"/>
          <w:sz w:val="28"/>
          <w:szCs w:val="28"/>
        </w:rPr>
        <w:t>для</w:t>
      </w:r>
      <w:r w:rsidR="00695BE7" w:rsidRPr="00762D4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695BE7">
        <w:rPr>
          <w:rFonts w:ascii="Times New Roman" w:hAnsi="Times New Roman" w:cs="Times New Roman"/>
          <w:sz w:val="28"/>
          <w:szCs w:val="28"/>
        </w:rPr>
        <w:t xml:space="preserve"> </w:t>
      </w:r>
      <w:r w:rsidR="00B23AE8">
        <w:rPr>
          <w:rFonts w:ascii="Times New Roman" w:hAnsi="Times New Roman" w:cs="Times New Roman"/>
          <w:sz w:val="28"/>
          <w:szCs w:val="28"/>
        </w:rPr>
        <w:t>з</w:t>
      </w:r>
      <w:r w:rsidR="00695BE7" w:rsidRPr="00695BE7">
        <w:rPr>
          <w:rFonts w:ascii="Times New Roman" w:hAnsi="Times New Roman" w:cs="Times New Roman"/>
          <w:sz w:val="28"/>
          <w:szCs w:val="28"/>
        </w:rPr>
        <w:t>акуп</w:t>
      </w:r>
      <w:r w:rsidR="00695BE7">
        <w:rPr>
          <w:rFonts w:ascii="Times New Roman" w:hAnsi="Times New Roman" w:cs="Times New Roman"/>
          <w:sz w:val="28"/>
          <w:szCs w:val="28"/>
        </w:rPr>
        <w:t>о</w:t>
      </w:r>
      <w:r w:rsidR="00695BE7" w:rsidRPr="00695BE7">
        <w:rPr>
          <w:rFonts w:ascii="Times New Roman" w:hAnsi="Times New Roman" w:cs="Times New Roman"/>
          <w:sz w:val="28"/>
          <w:szCs w:val="28"/>
        </w:rPr>
        <w:t>к путем</w:t>
      </w:r>
      <w:r w:rsidR="00695BE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  <w:u w:val="single"/>
        </w:rPr>
        <w:t>открытого конкурса в электронной форме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628C" w:rsidRPr="00762D4D" w:rsidRDefault="004E6F7F" w:rsidP="001F6D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D17"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>1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 xml:space="preserve"> 763 </w:t>
      </w:r>
      <w:r w:rsidR="00B24DFC">
        <w:rPr>
          <w:rFonts w:ascii="Times New Roman" w:hAnsi="Times New Roman" w:cs="Times New Roman"/>
          <w:sz w:val="28"/>
          <w:szCs w:val="28"/>
        </w:rPr>
        <w:t>извещения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ым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E42D17"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>1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 xml:space="preserve"> 858,67 </w:t>
      </w:r>
      <w:r w:rsidR="00D815E6" w:rsidRPr="001607CC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 (</w:t>
      </w:r>
      <w:r w:rsidR="00B24DFC">
        <w:rPr>
          <w:rFonts w:ascii="Times New Roman" w:hAnsi="Times New Roman" w:cs="Times New Roman"/>
          <w:sz w:val="28"/>
          <w:szCs w:val="28"/>
        </w:rPr>
        <w:t>4,72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036F7F" w:rsidRPr="00762D4D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ого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</w:rPr>
        <w:t>объема извещений</w:t>
      </w:r>
      <w:r w:rsidR="00F61DEC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, размещенных конкурентными способами) было размещено </w:t>
      </w:r>
      <w:r w:rsidR="00201866">
        <w:rPr>
          <w:rFonts w:ascii="Times New Roman" w:hAnsi="Times New Roman" w:cs="Times New Roman"/>
          <w:sz w:val="28"/>
          <w:szCs w:val="28"/>
        </w:rPr>
        <w:t>для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95BE7">
        <w:rPr>
          <w:rFonts w:ascii="Times New Roman" w:hAnsi="Times New Roman" w:cs="Times New Roman"/>
          <w:sz w:val="28"/>
          <w:szCs w:val="28"/>
        </w:rPr>
        <w:t>закупок</w:t>
      </w:r>
      <w:r w:rsidR="00695BE7" w:rsidRPr="00695BE7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695BE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43628C" w:rsidRPr="00762D4D">
        <w:rPr>
          <w:rFonts w:ascii="Times New Roman" w:hAnsi="Times New Roman" w:cs="Times New Roman"/>
          <w:sz w:val="28"/>
          <w:szCs w:val="28"/>
        </w:rPr>
        <w:t>.</w:t>
      </w:r>
    </w:p>
    <w:p w:rsidR="009E350D" w:rsidRPr="00762D4D" w:rsidRDefault="009E350D" w:rsidP="001F6D9A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D017E1" w:rsidRPr="00762D4D" w:rsidRDefault="006B5B07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  <w:r w:rsidRPr="00762D4D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 конкурентными способами определения поставщика (подрядчика, исполнителя)</w:t>
      </w:r>
    </w:p>
    <w:p w:rsidR="006B5B07" w:rsidRPr="00762D4D" w:rsidRDefault="006B5B07" w:rsidP="001F6D9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80"/>
      </w:tblPr>
      <w:tblGrid>
        <w:gridCol w:w="4219"/>
        <w:gridCol w:w="2835"/>
        <w:gridCol w:w="2233"/>
      </w:tblGrid>
      <w:tr w:rsidR="006B5B07" w:rsidRPr="00B24DFC" w:rsidTr="00B24DFC">
        <w:trPr>
          <w:cnfStyle w:val="000000100000"/>
        </w:trPr>
        <w:tc>
          <w:tcPr>
            <w:cnfStyle w:val="001000000000"/>
            <w:tcW w:w="4219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6B5B07" w:rsidRPr="00B24DFC" w:rsidRDefault="006B5B07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506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6B5B07" w:rsidRPr="00B24DFC" w:rsidRDefault="006B5B07" w:rsidP="004E6F7F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202</w:t>
            </w:r>
            <w:r w:rsidR="004E6F7F"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5</w:t>
            </w:r>
            <w:r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год</w:t>
            </w:r>
          </w:p>
        </w:tc>
      </w:tr>
      <w:tr w:rsidR="006B5B07" w:rsidRPr="00B24DFC" w:rsidTr="00B24DFC">
        <w:tc>
          <w:tcPr>
            <w:cnfStyle w:val="001000000000"/>
            <w:tcW w:w="4219" w:type="dxa"/>
            <w:vMerge/>
            <w:shd w:val="clear" w:color="auto" w:fill="8DB3E2" w:themeFill="text2" w:themeFillTint="66"/>
          </w:tcPr>
          <w:p w:rsidR="006B5B07" w:rsidRPr="00B24DFC" w:rsidRDefault="006B5B07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8DB3E2" w:themeFill="text2" w:themeFillTint="66"/>
          </w:tcPr>
          <w:p w:rsidR="006B5B07" w:rsidRPr="00B24DFC" w:rsidRDefault="006B5B07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3" w:type="dxa"/>
            <w:shd w:val="clear" w:color="auto" w:fill="8DB3E2" w:themeFill="text2" w:themeFillTint="66"/>
          </w:tcPr>
          <w:p w:rsidR="00E42D17" w:rsidRPr="00B24DFC" w:rsidRDefault="006B5B07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НМЦК, </w:t>
            </w:r>
          </w:p>
          <w:p w:rsidR="006B5B07" w:rsidRPr="00B24DFC" w:rsidRDefault="006B5B07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млн. руб.</w:t>
            </w:r>
          </w:p>
        </w:tc>
      </w:tr>
      <w:tr w:rsidR="006B5B07" w:rsidRPr="00B24DFC" w:rsidTr="00B24DFC">
        <w:trPr>
          <w:cnfStyle w:val="000000100000"/>
          <w:trHeight w:val="421"/>
        </w:trPr>
        <w:tc>
          <w:tcPr>
            <w:cnfStyle w:val="001000000000"/>
            <w:tcW w:w="4219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6B5B07" w:rsidRPr="00B24DFC" w:rsidRDefault="006B5B07" w:rsidP="001F6D9A">
            <w:pPr>
              <w:spacing w:line="276" w:lineRule="auto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Электронный аукцион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6B5B07" w:rsidRPr="00B24DFC" w:rsidRDefault="004E6F7F" w:rsidP="00922FAE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9 006</w:t>
            </w:r>
          </w:p>
        </w:tc>
        <w:tc>
          <w:tcPr>
            <w:tcW w:w="2233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6B5B07" w:rsidRPr="00B24DFC" w:rsidRDefault="004E6F7F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21 094,44 </w:t>
            </w:r>
          </w:p>
        </w:tc>
      </w:tr>
      <w:tr w:rsidR="006B5B07" w:rsidRPr="00B24DFC" w:rsidTr="00B24DFC">
        <w:trPr>
          <w:trHeight w:val="420"/>
        </w:trPr>
        <w:tc>
          <w:tcPr>
            <w:cnfStyle w:val="001000000000"/>
            <w:tcW w:w="4219" w:type="dxa"/>
            <w:shd w:val="clear" w:color="auto" w:fill="DBE5F1" w:themeFill="accent1" w:themeFillTint="33"/>
          </w:tcPr>
          <w:p w:rsidR="006B5B07" w:rsidRPr="00B24DFC" w:rsidRDefault="006B5B07" w:rsidP="001F6D9A">
            <w:pPr>
              <w:spacing w:line="276" w:lineRule="auto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6B5B07" w:rsidRPr="00B24DFC" w:rsidRDefault="00922FAE" w:rsidP="004E6F7F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2</w:t>
            </w:r>
            <w:r w:rsidR="004E6F7F"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94</w:t>
            </w:r>
          </w:p>
        </w:tc>
        <w:tc>
          <w:tcPr>
            <w:tcW w:w="2233" w:type="dxa"/>
            <w:shd w:val="clear" w:color="auto" w:fill="DBE5F1" w:themeFill="accent1" w:themeFillTint="33"/>
          </w:tcPr>
          <w:p w:rsidR="006B5B07" w:rsidRPr="00B24DFC" w:rsidRDefault="004E6F7F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16 412,50</w:t>
            </w:r>
          </w:p>
        </w:tc>
      </w:tr>
      <w:tr w:rsidR="00D815E6" w:rsidRPr="00B24DFC" w:rsidTr="00B24DFC">
        <w:trPr>
          <w:cnfStyle w:val="000000100000"/>
          <w:trHeight w:val="417"/>
        </w:trPr>
        <w:tc>
          <w:tcPr>
            <w:cnfStyle w:val="001000000000"/>
            <w:tcW w:w="4219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D815E6" w:rsidRPr="00B24DFC" w:rsidRDefault="00D815E6" w:rsidP="001F6D9A">
            <w:pPr>
              <w:spacing w:line="276" w:lineRule="auto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D815E6" w:rsidRPr="00B24DFC" w:rsidRDefault="00922FAE" w:rsidP="004E6F7F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</w:t>
            </w:r>
            <w:r w:rsidR="004E6F7F"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 763</w:t>
            </w:r>
          </w:p>
        </w:tc>
        <w:tc>
          <w:tcPr>
            <w:tcW w:w="2233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D815E6" w:rsidRPr="00B24DFC" w:rsidRDefault="004E6F7F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1 858,67</w:t>
            </w:r>
          </w:p>
        </w:tc>
      </w:tr>
      <w:tr w:rsidR="00D815E6" w:rsidRPr="00B24DFC" w:rsidTr="00B24DFC">
        <w:trPr>
          <w:trHeight w:val="415"/>
        </w:trPr>
        <w:tc>
          <w:tcPr>
            <w:cnfStyle w:val="001000000000"/>
            <w:tcW w:w="4219" w:type="dxa"/>
            <w:shd w:val="clear" w:color="auto" w:fill="DBE5F1" w:themeFill="accent1" w:themeFillTint="33"/>
          </w:tcPr>
          <w:p w:rsidR="00D815E6" w:rsidRPr="00B24DFC" w:rsidRDefault="00E855C7" w:rsidP="00E855C7">
            <w:pPr>
              <w:spacing w:line="276" w:lineRule="auto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Всего                                     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D815E6" w:rsidRPr="00B24DFC" w:rsidRDefault="004E6F7F" w:rsidP="00922FAE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11 063</w:t>
            </w:r>
            <w:r w:rsidR="00036F7F"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shd w:val="clear" w:color="auto" w:fill="DBE5F1" w:themeFill="accent1" w:themeFillTint="33"/>
          </w:tcPr>
          <w:p w:rsidR="00D815E6" w:rsidRPr="00B24DFC" w:rsidRDefault="004E6F7F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B24DFC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39 365,61</w:t>
            </w:r>
          </w:p>
        </w:tc>
      </w:tr>
    </w:tbl>
    <w:p w:rsidR="009E350D" w:rsidRPr="00762D4D" w:rsidRDefault="009E350D" w:rsidP="001F6D9A">
      <w:pPr>
        <w:spacing w:after="0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036F7F" w:rsidRPr="00762D4D" w:rsidRDefault="00036F7F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>В 202</w:t>
      </w:r>
      <w:r w:rsidR="00B24DFC">
        <w:rPr>
          <w:rFonts w:ascii="Times New Roman" w:hAnsi="Times New Roman" w:cs="Times New Roman"/>
          <w:sz w:val="28"/>
          <w:szCs w:val="28"/>
        </w:rPr>
        <w:t>5</w:t>
      </w:r>
      <w:r w:rsidRPr="00762D4D">
        <w:rPr>
          <w:rFonts w:ascii="Times New Roman" w:hAnsi="Times New Roman" w:cs="Times New Roman"/>
          <w:sz w:val="28"/>
          <w:szCs w:val="28"/>
        </w:rPr>
        <w:t xml:space="preserve"> году наиболее распространенным </w:t>
      </w:r>
      <w:r w:rsidR="00F61DEC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Pr="00762D4D">
        <w:rPr>
          <w:rFonts w:ascii="Times New Roman" w:hAnsi="Times New Roman" w:cs="Times New Roman"/>
          <w:sz w:val="28"/>
          <w:szCs w:val="28"/>
        </w:rPr>
        <w:t>сп</w:t>
      </w:r>
      <w:r w:rsidR="00131982" w:rsidRPr="00762D4D">
        <w:rPr>
          <w:rFonts w:ascii="Times New Roman" w:hAnsi="Times New Roman" w:cs="Times New Roman"/>
          <w:sz w:val="28"/>
          <w:szCs w:val="28"/>
        </w:rPr>
        <w:t xml:space="preserve">особом  определения поставщика (подрядчика, </w:t>
      </w:r>
      <w:r w:rsidRPr="00762D4D">
        <w:rPr>
          <w:rFonts w:ascii="Times New Roman" w:hAnsi="Times New Roman" w:cs="Times New Roman"/>
          <w:sz w:val="28"/>
          <w:szCs w:val="28"/>
        </w:rPr>
        <w:t>исполните</w:t>
      </w:r>
      <w:r w:rsidR="00131982" w:rsidRPr="00762D4D">
        <w:rPr>
          <w:rFonts w:ascii="Times New Roman" w:hAnsi="Times New Roman" w:cs="Times New Roman"/>
          <w:sz w:val="28"/>
          <w:szCs w:val="28"/>
        </w:rPr>
        <w:t xml:space="preserve">ля) </w:t>
      </w:r>
      <w:r w:rsidR="00131982" w:rsidRPr="00923B70">
        <w:rPr>
          <w:rFonts w:ascii="Times New Roman" w:hAnsi="Times New Roman" w:cs="Times New Roman"/>
          <w:sz w:val="28"/>
          <w:szCs w:val="28"/>
          <w:u w:val="single"/>
        </w:rPr>
        <w:t>являлся электронный  аукцион</w:t>
      </w:r>
      <w:r w:rsidR="00131982" w:rsidRPr="00762D4D">
        <w:rPr>
          <w:rFonts w:ascii="Times New Roman" w:hAnsi="Times New Roman" w:cs="Times New Roman"/>
          <w:sz w:val="28"/>
          <w:szCs w:val="28"/>
        </w:rPr>
        <w:t>, доля которого</w:t>
      </w:r>
      <w:r w:rsidRPr="00762D4D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2316DF">
        <w:rPr>
          <w:rFonts w:ascii="Times New Roman" w:hAnsi="Times New Roman" w:cs="Times New Roman"/>
          <w:b/>
          <w:sz w:val="28"/>
          <w:szCs w:val="28"/>
        </w:rPr>
        <w:t>81,40</w:t>
      </w:r>
      <w:r w:rsidR="00A452E3">
        <w:rPr>
          <w:rFonts w:ascii="Times New Roman" w:hAnsi="Times New Roman" w:cs="Times New Roman"/>
          <w:b/>
          <w:sz w:val="28"/>
          <w:szCs w:val="28"/>
        </w:rPr>
        <w:t>%</w:t>
      </w:r>
      <w:r w:rsidRPr="00762D4D">
        <w:rPr>
          <w:rFonts w:ascii="Times New Roman" w:hAnsi="Times New Roman" w:cs="Times New Roman"/>
          <w:sz w:val="28"/>
          <w:szCs w:val="28"/>
        </w:rPr>
        <w:t xml:space="preserve">  от  общего  количества размещенных конкурентных процедур. </w:t>
      </w:r>
    </w:p>
    <w:p w:rsidR="00036F7F" w:rsidRDefault="00036F7F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lastRenderedPageBreak/>
        <w:t>Применение заказчиками электронных аукционов обусловлено удобством электронной формы, минимизацией временных и материальных затрат, 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B32193" w:rsidRPr="00246400" w:rsidRDefault="00B32193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EED" w:rsidRDefault="007F4EED" w:rsidP="001F6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7899" cy="2089530"/>
            <wp:effectExtent l="57150" t="19050" r="44251" b="597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52FD" w:rsidRDefault="00FB52FD" w:rsidP="008F0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2FD" w:rsidRDefault="001C4334" w:rsidP="00FB52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в</w:t>
      </w:r>
      <w:r w:rsidR="00FB52FD" w:rsidRPr="00FB52FD">
        <w:rPr>
          <w:rFonts w:ascii="Times New Roman" w:hAnsi="Times New Roman" w:cs="Times New Roman"/>
          <w:sz w:val="28"/>
          <w:szCs w:val="28"/>
        </w:rPr>
        <w:t xml:space="preserve"> сравнении с периодом 2024 года </w:t>
      </w:r>
      <w:r w:rsidR="000863C7">
        <w:rPr>
          <w:rFonts w:ascii="Times New Roman" w:hAnsi="Times New Roman" w:cs="Times New Roman"/>
          <w:sz w:val="28"/>
          <w:szCs w:val="28"/>
        </w:rPr>
        <w:t>увеличились</w:t>
      </w:r>
      <w:r w:rsidR="0070620E">
        <w:rPr>
          <w:rFonts w:ascii="Times New Roman" w:hAnsi="Times New Roman" w:cs="Times New Roman"/>
          <w:sz w:val="28"/>
          <w:szCs w:val="28"/>
        </w:rPr>
        <w:t xml:space="preserve"> как </w:t>
      </w:r>
      <w:r w:rsidR="00FB52FD" w:rsidRPr="00FB52FD">
        <w:rPr>
          <w:rFonts w:ascii="Times New Roman" w:hAnsi="Times New Roman" w:cs="Times New Roman"/>
          <w:sz w:val="28"/>
          <w:szCs w:val="28"/>
        </w:rPr>
        <w:t>общее количество размещенных извещений государственными заказчиками Курской области конкурентными способами определения постав</w:t>
      </w:r>
      <w:r w:rsidR="00FB52FD">
        <w:rPr>
          <w:rFonts w:ascii="Times New Roman" w:hAnsi="Times New Roman" w:cs="Times New Roman"/>
          <w:sz w:val="28"/>
          <w:szCs w:val="28"/>
        </w:rPr>
        <w:t>щика (подрядчика, исполнителя) на 978</w:t>
      </w:r>
      <w:r>
        <w:rPr>
          <w:rFonts w:ascii="Times New Roman" w:hAnsi="Times New Roman" w:cs="Times New Roman"/>
          <w:sz w:val="28"/>
          <w:szCs w:val="28"/>
        </w:rPr>
        <w:t xml:space="preserve"> шт. (9,7%)</w:t>
      </w:r>
      <w:r w:rsidR="000863C7">
        <w:rPr>
          <w:rFonts w:ascii="Times New Roman" w:hAnsi="Times New Roman" w:cs="Times New Roman"/>
          <w:sz w:val="28"/>
          <w:szCs w:val="28"/>
        </w:rPr>
        <w:t>,</w:t>
      </w:r>
      <w:r w:rsidR="00612889">
        <w:rPr>
          <w:rFonts w:ascii="Times New Roman" w:hAnsi="Times New Roman" w:cs="Times New Roman"/>
          <w:sz w:val="28"/>
          <w:szCs w:val="28"/>
        </w:rPr>
        <w:t xml:space="preserve"> </w:t>
      </w:r>
      <w:r w:rsidR="0070620E">
        <w:rPr>
          <w:rFonts w:ascii="Times New Roman" w:hAnsi="Times New Roman" w:cs="Times New Roman"/>
          <w:sz w:val="28"/>
          <w:szCs w:val="28"/>
        </w:rPr>
        <w:t xml:space="preserve">так </w:t>
      </w:r>
      <w:r w:rsidR="0061288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совокупный</w:t>
      </w:r>
      <w:r w:rsidR="00FB52FD" w:rsidRPr="00FB5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суммарный </w:t>
      </w:r>
      <w:r w:rsidR="00FB52FD" w:rsidRPr="00FB52FD">
        <w:rPr>
          <w:rFonts w:ascii="Times New Roman" w:hAnsi="Times New Roman" w:cs="Times New Roman"/>
          <w:sz w:val="28"/>
          <w:szCs w:val="28"/>
        </w:rPr>
        <w:t xml:space="preserve">объем размещенных извещений на </w:t>
      </w:r>
      <w:r w:rsidR="00FB52FD">
        <w:rPr>
          <w:rFonts w:ascii="Times New Roman" w:hAnsi="Times New Roman" w:cs="Times New Roman"/>
          <w:sz w:val="28"/>
          <w:szCs w:val="28"/>
        </w:rPr>
        <w:t>16 406,68</w:t>
      </w:r>
      <w:r w:rsidR="00FB52FD" w:rsidRPr="00FB52FD">
        <w:rPr>
          <w:rFonts w:ascii="Times New Roman" w:hAnsi="Times New Roman" w:cs="Times New Roman"/>
          <w:sz w:val="28"/>
          <w:szCs w:val="28"/>
        </w:rPr>
        <w:t xml:space="preserve"> млн. руб.</w:t>
      </w:r>
      <w:r>
        <w:rPr>
          <w:rFonts w:ascii="Times New Roman" w:hAnsi="Times New Roman" w:cs="Times New Roman"/>
          <w:sz w:val="28"/>
          <w:szCs w:val="28"/>
        </w:rPr>
        <w:t xml:space="preserve"> (71,46%)</w:t>
      </w:r>
    </w:p>
    <w:p w:rsidR="00FB52FD" w:rsidRDefault="00FB52FD" w:rsidP="008F0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5362" w:rsidRPr="00246400" w:rsidRDefault="00246400" w:rsidP="008F0B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4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3603370"/>
            <wp:effectExtent l="19050" t="0" r="1206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6BEE" w:rsidRPr="00754834" w:rsidRDefault="00926BEE" w:rsidP="008F0B5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54834">
        <w:rPr>
          <w:rFonts w:ascii="Times New Roman" w:hAnsi="Times New Roman" w:cs="Times New Roman"/>
          <w:sz w:val="28"/>
          <w:szCs w:val="28"/>
        </w:rPr>
        <w:lastRenderedPageBreak/>
        <w:t xml:space="preserve">Из общего количества </w:t>
      </w:r>
      <w:r w:rsidR="00437978" w:rsidRPr="00754834">
        <w:rPr>
          <w:rFonts w:ascii="Times New Roman" w:hAnsi="Times New Roman" w:cs="Times New Roman"/>
          <w:sz w:val="28"/>
          <w:szCs w:val="28"/>
        </w:rPr>
        <w:t xml:space="preserve">конкурентных </w:t>
      </w:r>
      <w:r w:rsidRPr="00754834">
        <w:rPr>
          <w:rFonts w:ascii="Times New Roman" w:hAnsi="Times New Roman" w:cs="Times New Roman"/>
          <w:sz w:val="28"/>
          <w:szCs w:val="28"/>
        </w:rPr>
        <w:t xml:space="preserve">закупок, размещенных государственными заказчиками </w:t>
      </w:r>
      <w:r w:rsidR="00246400" w:rsidRPr="00754834">
        <w:rPr>
          <w:rFonts w:ascii="Times New Roman" w:hAnsi="Times New Roman" w:cs="Times New Roman"/>
          <w:sz w:val="28"/>
          <w:szCs w:val="28"/>
        </w:rPr>
        <w:t xml:space="preserve"> </w:t>
      </w:r>
      <w:r w:rsidRPr="00754834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246400" w:rsidRPr="00754834">
        <w:rPr>
          <w:rFonts w:ascii="Times New Roman" w:hAnsi="Times New Roman" w:cs="Times New Roman"/>
          <w:sz w:val="28"/>
          <w:szCs w:val="28"/>
        </w:rPr>
        <w:t xml:space="preserve"> </w:t>
      </w:r>
      <w:r w:rsidR="00612889" w:rsidRPr="0075483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754834">
        <w:rPr>
          <w:rFonts w:ascii="Times New Roman" w:hAnsi="Times New Roman" w:cs="Times New Roman"/>
          <w:sz w:val="28"/>
          <w:szCs w:val="28"/>
        </w:rPr>
        <w:t>202</w:t>
      </w:r>
      <w:r w:rsidR="00612889" w:rsidRPr="00754834">
        <w:rPr>
          <w:rFonts w:ascii="Times New Roman" w:hAnsi="Times New Roman" w:cs="Times New Roman"/>
          <w:sz w:val="28"/>
          <w:szCs w:val="28"/>
        </w:rPr>
        <w:t>5</w:t>
      </w:r>
      <w:r w:rsidRPr="00754834">
        <w:rPr>
          <w:rFonts w:ascii="Times New Roman" w:hAnsi="Times New Roman" w:cs="Times New Roman"/>
          <w:sz w:val="28"/>
          <w:szCs w:val="28"/>
        </w:rPr>
        <w:t xml:space="preserve"> год</w:t>
      </w:r>
      <w:r w:rsidR="00612889" w:rsidRPr="00754834">
        <w:rPr>
          <w:rFonts w:ascii="Times New Roman" w:hAnsi="Times New Roman" w:cs="Times New Roman"/>
          <w:sz w:val="28"/>
          <w:szCs w:val="28"/>
        </w:rPr>
        <w:t>а</w:t>
      </w:r>
      <w:r w:rsidRPr="00754834">
        <w:rPr>
          <w:rFonts w:ascii="Times New Roman" w:hAnsi="Times New Roman" w:cs="Times New Roman"/>
          <w:sz w:val="28"/>
          <w:szCs w:val="28"/>
        </w:rPr>
        <w:t>,</w:t>
      </w:r>
      <w:r w:rsidR="00246400" w:rsidRPr="00754834">
        <w:rPr>
          <w:rFonts w:ascii="Times New Roman" w:hAnsi="Times New Roman" w:cs="Times New Roman"/>
          <w:sz w:val="28"/>
          <w:szCs w:val="28"/>
        </w:rPr>
        <w:t xml:space="preserve"> </w:t>
      </w:r>
      <w:r w:rsidRPr="00754834">
        <w:rPr>
          <w:rFonts w:ascii="Times New Roman" w:hAnsi="Times New Roman" w:cs="Times New Roman"/>
          <w:sz w:val="28"/>
          <w:szCs w:val="28"/>
        </w:rPr>
        <w:t xml:space="preserve"> признаны</w:t>
      </w:r>
      <w:r w:rsidR="00246400" w:rsidRPr="00754834">
        <w:rPr>
          <w:rFonts w:ascii="Times New Roman" w:hAnsi="Times New Roman" w:cs="Times New Roman"/>
          <w:sz w:val="28"/>
          <w:szCs w:val="28"/>
        </w:rPr>
        <w:t xml:space="preserve"> </w:t>
      </w:r>
      <w:r w:rsidRPr="00754834">
        <w:rPr>
          <w:rFonts w:ascii="Times New Roman" w:hAnsi="Times New Roman" w:cs="Times New Roman"/>
          <w:sz w:val="28"/>
          <w:szCs w:val="28"/>
        </w:rPr>
        <w:t xml:space="preserve"> несостоявшимися </w:t>
      </w:r>
      <w:r w:rsidR="00754834" w:rsidRPr="00754834">
        <w:rPr>
          <w:rFonts w:ascii="Times New Roman" w:hAnsi="Times New Roman" w:cs="Times New Roman"/>
          <w:b/>
          <w:sz w:val="28"/>
          <w:szCs w:val="28"/>
        </w:rPr>
        <w:t>6 493</w:t>
      </w:r>
      <w:r w:rsidRPr="00754834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5B44E7" w:rsidRPr="00754834">
        <w:rPr>
          <w:rFonts w:ascii="Times New Roman" w:hAnsi="Times New Roman" w:cs="Times New Roman"/>
          <w:sz w:val="28"/>
          <w:szCs w:val="28"/>
        </w:rPr>
        <w:t>ы</w:t>
      </w:r>
      <w:r w:rsidRPr="00754834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754834" w:rsidRPr="00754834">
        <w:rPr>
          <w:rFonts w:ascii="Times New Roman" w:hAnsi="Times New Roman" w:cs="Times New Roman"/>
          <w:b/>
          <w:sz w:val="28"/>
          <w:szCs w:val="28"/>
        </w:rPr>
        <w:t>58</w:t>
      </w:r>
      <w:r w:rsidR="00754834">
        <w:rPr>
          <w:rFonts w:ascii="Times New Roman" w:hAnsi="Times New Roman" w:cs="Times New Roman"/>
          <w:b/>
          <w:sz w:val="28"/>
          <w:szCs w:val="28"/>
        </w:rPr>
        <w:t>,</w:t>
      </w:r>
      <w:r w:rsidR="00754834" w:rsidRPr="00754834">
        <w:rPr>
          <w:rFonts w:ascii="Times New Roman" w:hAnsi="Times New Roman" w:cs="Times New Roman"/>
          <w:b/>
          <w:sz w:val="28"/>
          <w:szCs w:val="28"/>
        </w:rPr>
        <w:t>7</w:t>
      </w:r>
      <w:r w:rsidRPr="00754834">
        <w:rPr>
          <w:rFonts w:ascii="Times New Roman" w:hAnsi="Times New Roman" w:cs="Times New Roman"/>
          <w:b/>
          <w:sz w:val="28"/>
          <w:szCs w:val="28"/>
        </w:rPr>
        <w:t>%</w:t>
      </w:r>
      <w:r w:rsidRPr="00754834">
        <w:rPr>
          <w:rFonts w:ascii="Times New Roman" w:hAnsi="Times New Roman" w:cs="Times New Roman"/>
          <w:sz w:val="28"/>
          <w:szCs w:val="28"/>
        </w:rPr>
        <w:t xml:space="preserve"> от общего количества размещенных извещений о проведении конкурент</w:t>
      </w:r>
      <w:r w:rsidR="005E1C23" w:rsidRPr="00754834">
        <w:rPr>
          <w:rFonts w:ascii="Times New Roman" w:hAnsi="Times New Roman" w:cs="Times New Roman"/>
          <w:sz w:val="28"/>
          <w:szCs w:val="28"/>
        </w:rPr>
        <w:t>ных</w:t>
      </w:r>
      <w:r w:rsidRPr="00754834">
        <w:rPr>
          <w:rFonts w:ascii="Times New Roman" w:hAnsi="Times New Roman" w:cs="Times New Roman"/>
          <w:sz w:val="28"/>
          <w:szCs w:val="28"/>
        </w:rPr>
        <w:t xml:space="preserve"> процедур определения поставщика (подрядчика, исполнителя). Основной причиной признания процедуры закупки несостоявшейся является подача </w:t>
      </w:r>
      <w:r w:rsidR="00353B94" w:rsidRPr="00754834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754834">
        <w:rPr>
          <w:rFonts w:ascii="Times New Roman" w:hAnsi="Times New Roman" w:cs="Times New Roman"/>
          <w:sz w:val="28"/>
          <w:szCs w:val="28"/>
        </w:rPr>
        <w:t>одной заявки дл</w:t>
      </w:r>
      <w:r w:rsidR="00754834">
        <w:rPr>
          <w:rFonts w:ascii="Times New Roman" w:hAnsi="Times New Roman" w:cs="Times New Roman"/>
          <w:sz w:val="28"/>
          <w:szCs w:val="28"/>
        </w:rPr>
        <w:t xml:space="preserve">я участия в процедуре </w:t>
      </w:r>
      <w:r w:rsidR="00754834" w:rsidRPr="00437978">
        <w:rPr>
          <w:rFonts w:ascii="Times New Roman" w:hAnsi="Times New Roman" w:cs="Times New Roman"/>
          <w:sz w:val="28"/>
          <w:szCs w:val="28"/>
        </w:rPr>
        <w:t>закупки (</w:t>
      </w:r>
      <w:r w:rsidR="00437978" w:rsidRPr="00437978">
        <w:rPr>
          <w:rFonts w:ascii="Times New Roman" w:hAnsi="Times New Roman" w:cs="Times New Roman"/>
          <w:sz w:val="28"/>
          <w:szCs w:val="28"/>
        </w:rPr>
        <w:t>62,44</w:t>
      </w:r>
      <w:r w:rsidR="001919D1" w:rsidRPr="00437978">
        <w:rPr>
          <w:rFonts w:ascii="Times New Roman" w:hAnsi="Times New Roman" w:cs="Times New Roman"/>
          <w:sz w:val="28"/>
          <w:szCs w:val="28"/>
        </w:rPr>
        <w:t>%).</w:t>
      </w:r>
      <w:r w:rsidR="00B23AE8" w:rsidRPr="00754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8F1" w:rsidRPr="00762D4D" w:rsidRDefault="004118F1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31C7C" w:rsidRPr="00762D4D" w:rsidRDefault="004A429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7978" w:rsidRPr="00437978">
        <w:rPr>
          <w:rFonts w:ascii="Times New Roman" w:hAnsi="Times New Roman" w:cs="Times New Roman"/>
          <w:sz w:val="28"/>
          <w:szCs w:val="28"/>
        </w:rPr>
        <w:t>Основания для признания процедур определения поставщика (подрядчика, исполнителя) несостоявшимися.</w:t>
      </w:r>
    </w:p>
    <w:tbl>
      <w:tblPr>
        <w:tblStyle w:val="a9"/>
        <w:tblW w:w="0" w:type="auto"/>
        <w:tblInd w:w="108" w:type="dxa"/>
        <w:shd w:val="clear" w:color="auto" w:fill="B8CCE4" w:themeFill="accent1" w:themeFillTint="66"/>
        <w:tblLook w:val="04A0"/>
      </w:tblPr>
      <w:tblGrid>
        <w:gridCol w:w="3548"/>
        <w:gridCol w:w="1777"/>
        <w:gridCol w:w="1788"/>
        <w:gridCol w:w="2066"/>
      </w:tblGrid>
      <w:tr w:rsidR="000F25EA" w:rsidRPr="00437978" w:rsidTr="00E855C7">
        <w:trPr>
          <w:tblHeader/>
        </w:trPr>
        <w:tc>
          <w:tcPr>
            <w:tcW w:w="4001" w:type="dxa"/>
            <w:shd w:val="clear" w:color="auto" w:fill="4F81BD" w:themeFill="accent1"/>
            <w:vAlign w:val="center"/>
          </w:tcPr>
          <w:p w:rsidR="000F25EA" w:rsidRPr="00437978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4F81BD" w:themeFill="accent1"/>
            <w:vAlign w:val="center"/>
          </w:tcPr>
          <w:p w:rsidR="000F25EA" w:rsidRPr="00437978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4F81BD" w:themeFill="accent1"/>
            <w:vAlign w:val="center"/>
          </w:tcPr>
          <w:p w:rsidR="000F25EA" w:rsidRPr="00437978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4F81BD" w:themeFill="accent1"/>
            <w:vAlign w:val="center"/>
          </w:tcPr>
          <w:p w:rsidR="000F25EA" w:rsidRPr="00437978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Уде</w:t>
            </w:r>
            <w:r w:rsidR="00967C8A"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льный вес в общем кол-ве несостоявших</w:t>
            </w:r>
            <w:r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ся процедур, %</w:t>
            </w:r>
          </w:p>
        </w:tc>
      </w:tr>
      <w:tr w:rsidR="000F25EA" w:rsidRPr="00437978" w:rsidTr="00E855C7">
        <w:trPr>
          <w:trHeight w:val="280"/>
        </w:trPr>
        <w:tc>
          <w:tcPr>
            <w:tcW w:w="4001" w:type="dxa"/>
            <w:shd w:val="clear" w:color="auto" w:fill="B8CCE4" w:themeFill="accent1" w:themeFillTint="66"/>
            <w:vAlign w:val="center"/>
          </w:tcPr>
          <w:p w:rsidR="000F25EA" w:rsidRPr="00437978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shd w:val="clear" w:color="auto" w:fill="B8CCE4" w:themeFill="accent1" w:themeFillTint="66"/>
            <w:vAlign w:val="center"/>
          </w:tcPr>
          <w:p w:rsidR="000F25EA" w:rsidRPr="00437978" w:rsidRDefault="001C3783" w:rsidP="00EC31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4 054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0F25EA" w:rsidRPr="00437978" w:rsidRDefault="001C3783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16 640,33</w:t>
            </w:r>
          </w:p>
        </w:tc>
        <w:tc>
          <w:tcPr>
            <w:tcW w:w="2091" w:type="dxa"/>
            <w:shd w:val="clear" w:color="auto" w:fill="B8CCE4" w:themeFill="accent1" w:themeFillTint="66"/>
            <w:vAlign w:val="center"/>
          </w:tcPr>
          <w:p w:rsidR="000F25EA" w:rsidRPr="00437978" w:rsidRDefault="001C3783" w:rsidP="00EC31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62,44</w:t>
            </w:r>
            <w:r w:rsidR="00B03A52"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0F25EA" w:rsidRPr="00437978" w:rsidTr="00E855C7">
        <w:trPr>
          <w:trHeight w:val="280"/>
        </w:trPr>
        <w:tc>
          <w:tcPr>
            <w:tcW w:w="4001" w:type="dxa"/>
            <w:shd w:val="clear" w:color="auto" w:fill="B8CCE4" w:themeFill="accent1" w:themeFillTint="66"/>
            <w:vAlign w:val="center"/>
          </w:tcPr>
          <w:p w:rsidR="000F25EA" w:rsidRPr="00437978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shd w:val="clear" w:color="auto" w:fill="B8CCE4" w:themeFill="accent1" w:themeFillTint="66"/>
            <w:vAlign w:val="center"/>
          </w:tcPr>
          <w:p w:rsidR="000F25EA" w:rsidRPr="00437978" w:rsidRDefault="001C3783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2 064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0F25EA" w:rsidRPr="00437978" w:rsidRDefault="001C3783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2 785,52</w:t>
            </w:r>
          </w:p>
        </w:tc>
        <w:tc>
          <w:tcPr>
            <w:tcW w:w="2091" w:type="dxa"/>
            <w:shd w:val="clear" w:color="auto" w:fill="B8CCE4" w:themeFill="accent1" w:themeFillTint="66"/>
            <w:vAlign w:val="center"/>
          </w:tcPr>
          <w:p w:rsidR="000F25EA" w:rsidRPr="00437978" w:rsidRDefault="001C3783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31,79</w:t>
            </w:r>
            <w:r w:rsidR="00B03A52"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0F25EA" w:rsidRPr="00437978" w:rsidTr="00E855C7">
        <w:trPr>
          <w:trHeight w:val="280"/>
        </w:trPr>
        <w:tc>
          <w:tcPr>
            <w:tcW w:w="4001" w:type="dxa"/>
            <w:shd w:val="clear" w:color="auto" w:fill="B8CCE4" w:themeFill="accent1" w:themeFillTint="66"/>
            <w:vAlign w:val="center"/>
          </w:tcPr>
          <w:p w:rsidR="000F25EA" w:rsidRPr="00437978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shd w:val="clear" w:color="auto" w:fill="B8CCE4" w:themeFill="accent1" w:themeFillTint="66"/>
            <w:vAlign w:val="center"/>
          </w:tcPr>
          <w:p w:rsidR="000F25EA" w:rsidRPr="00437978" w:rsidRDefault="001C3783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0F25EA" w:rsidRPr="00437978" w:rsidRDefault="001C3783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992,38</w:t>
            </w:r>
          </w:p>
        </w:tc>
        <w:tc>
          <w:tcPr>
            <w:tcW w:w="2091" w:type="dxa"/>
            <w:shd w:val="clear" w:color="auto" w:fill="B8CCE4" w:themeFill="accent1" w:themeFillTint="66"/>
            <w:vAlign w:val="center"/>
          </w:tcPr>
          <w:p w:rsidR="000F25EA" w:rsidRPr="00437978" w:rsidRDefault="001C3783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5,13</w:t>
            </w:r>
            <w:r w:rsidR="00B03A52"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0F25EA" w:rsidRPr="00437978" w:rsidTr="00E855C7">
        <w:trPr>
          <w:trHeight w:val="280"/>
        </w:trPr>
        <w:tc>
          <w:tcPr>
            <w:tcW w:w="4001" w:type="dxa"/>
            <w:shd w:val="clear" w:color="auto" w:fill="B8CCE4" w:themeFill="accent1" w:themeFillTint="66"/>
            <w:vAlign w:val="center"/>
          </w:tcPr>
          <w:p w:rsidR="000F25EA" w:rsidRPr="00437978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1953" w:type="dxa"/>
            <w:shd w:val="clear" w:color="auto" w:fill="B8CCE4" w:themeFill="accent1" w:themeFillTint="66"/>
            <w:vAlign w:val="center"/>
          </w:tcPr>
          <w:p w:rsidR="000F25EA" w:rsidRPr="00437978" w:rsidRDefault="00A73E95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0F25EA" w:rsidRPr="00437978" w:rsidRDefault="00A73E95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351</w:t>
            </w:r>
            <w:r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,47</w:t>
            </w:r>
          </w:p>
        </w:tc>
        <w:tc>
          <w:tcPr>
            <w:tcW w:w="2091" w:type="dxa"/>
            <w:shd w:val="clear" w:color="auto" w:fill="B8CCE4" w:themeFill="accent1" w:themeFillTint="66"/>
            <w:vAlign w:val="center"/>
          </w:tcPr>
          <w:p w:rsidR="000F25EA" w:rsidRPr="00437978" w:rsidRDefault="001C3783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  <w:r w:rsidR="00437978"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03A52" w:rsidRPr="0043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0F25EA" w:rsidRPr="00437978" w:rsidTr="00E855C7">
        <w:tc>
          <w:tcPr>
            <w:tcW w:w="4001" w:type="dxa"/>
            <w:shd w:val="clear" w:color="auto" w:fill="B8CCE4" w:themeFill="accent1" w:themeFillTint="66"/>
            <w:vAlign w:val="center"/>
          </w:tcPr>
          <w:p w:rsidR="000F25EA" w:rsidRPr="00437978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shd w:val="clear" w:color="auto" w:fill="B8CCE4" w:themeFill="accent1" w:themeFillTint="66"/>
            <w:vAlign w:val="center"/>
          </w:tcPr>
          <w:p w:rsidR="000F25EA" w:rsidRPr="00437978" w:rsidRDefault="001C3783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6 493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0F25EA" w:rsidRPr="00437978" w:rsidRDefault="001C3783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20 769,70</w:t>
            </w:r>
          </w:p>
        </w:tc>
        <w:tc>
          <w:tcPr>
            <w:tcW w:w="2091" w:type="dxa"/>
            <w:shd w:val="clear" w:color="auto" w:fill="B8CCE4" w:themeFill="accent1" w:themeFillTint="66"/>
            <w:vAlign w:val="center"/>
          </w:tcPr>
          <w:p w:rsidR="000F25EA" w:rsidRPr="00437978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4A429E" w:rsidRPr="00762D4D" w:rsidRDefault="004A429E" w:rsidP="001F6D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09D0" w:rsidRPr="009F577B" w:rsidRDefault="00437978" w:rsidP="0010322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2025 года по всем </w:t>
      </w:r>
      <w:r w:rsidR="00BB1B74" w:rsidRPr="00762D4D">
        <w:rPr>
          <w:rFonts w:ascii="Times New Roman" w:hAnsi="Times New Roman" w:cs="Times New Roman"/>
          <w:sz w:val="28"/>
          <w:szCs w:val="28"/>
        </w:rPr>
        <w:t xml:space="preserve">объявленным государственными заказчиками Курской области </w:t>
      </w:r>
      <w:r w:rsidR="00FD1A02" w:rsidRPr="00762D4D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="00135647" w:rsidRPr="00762D4D">
        <w:rPr>
          <w:rFonts w:ascii="Times New Roman" w:hAnsi="Times New Roman" w:cs="Times New Roman"/>
          <w:sz w:val="28"/>
          <w:szCs w:val="28"/>
        </w:rPr>
        <w:t xml:space="preserve">закупочным процедурам </w:t>
      </w:r>
      <w:r w:rsidR="00BB1B74" w:rsidRPr="00762D4D">
        <w:rPr>
          <w:rFonts w:ascii="Times New Roman" w:hAnsi="Times New Roman" w:cs="Times New Roman"/>
          <w:sz w:val="28"/>
          <w:szCs w:val="28"/>
        </w:rPr>
        <w:t xml:space="preserve">было подано </w:t>
      </w:r>
      <w:r w:rsidR="00EC3190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103222">
        <w:rPr>
          <w:rFonts w:ascii="Times New Roman" w:hAnsi="Times New Roman" w:cs="Times New Roman"/>
          <w:b/>
          <w:sz w:val="28"/>
          <w:szCs w:val="28"/>
        </w:rPr>
        <w:t>093</w:t>
      </w:r>
      <w:r w:rsidR="0026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>зая</w:t>
      </w:r>
      <w:r w:rsidR="00B2562C">
        <w:rPr>
          <w:rFonts w:ascii="Times New Roman" w:hAnsi="Times New Roman" w:cs="Times New Roman"/>
          <w:b/>
          <w:sz w:val="28"/>
          <w:szCs w:val="28"/>
        </w:rPr>
        <w:t>вки</w:t>
      </w:r>
      <w:r w:rsidR="00382084" w:rsidRPr="00762D4D">
        <w:rPr>
          <w:rFonts w:ascii="Times New Roman" w:hAnsi="Times New Roman" w:cs="Times New Roman"/>
          <w:sz w:val="28"/>
          <w:szCs w:val="28"/>
        </w:rPr>
        <w:t xml:space="preserve">, из них допущено </w:t>
      </w:r>
      <w:r w:rsidR="00103222">
        <w:rPr>
          <w:rFonts w:ascii="Times New Roman" w:hAnsi="Times New Roman" w:cs="Times New Roman"/>
          <w:b/>
          <w:sz w:val="28"/>
          <w:szCs w:val="28"/>
        </w:rPr>
        <w:t>18 716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 w:rsidR="00C23CF7" w:rsidRPr="00762D4D">
        <w:rPr>
          <w:rFonts w:ascii="Times New Roman" w:hAnsi="Times New Roman" w:cs="Times New Roman"/>
          <w:b/>
          <w:sz w:val="28"/>
          <w:szCs w:val="28"/>
        </w:rPr>
        <w:t>ок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03222">
        <w:rPr>
          <w:rFonts w:ascii="Times New Roman" w:hAnsi="Times New Roman" w:cs="Times New Roman"/>
          <w:b/>
          <w:sz w:val="28"/>
          <w:szCs w:val="28"/>
        </w:rPr>
        <w:t>93,15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>%)</w:t>
      </w:r>
      <w:r w:rsidR="00923B70">
        <w:rPr>
          <w:rFonts w:ascii="Times New Roman" w:hAnsi="Times New Roman" w:cs="Times New Roman"/>
          <w:b/>
          <w:sz w:val="28"/>
          <w:szCs w:val="28"/>
        </w:rPr>
        <w:t>.</w:t>
      </w:r>
      <w:r w:rsidR="00BB1B74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103222" w:rsidRPr="001561EF">
        <w:rPr>
          <w:rFonts w:ascii="Times New Roman" w:hAnsi="Times New Roman" w:cs="Times New Roman"/>
          <w:sz w:val="28"/>
          <w:szCs w:val="28"/>
        </w:rPr>
        <w:t>С</w:t>
      </w:r>
      <w:r w:rsidR="001F6D9A" w:rsidRPr="001561EF">
        <w:rPr>
          <w:rFonts w:ascii="Times New Roman" w:hAnsi="Times New Roman" w:cs="Times New Roman"/>
          <w:sz w:val="28"/>
          <w:szCs w:val="28"/>
        </w:rPr>
        <w:t xml:space="preserve">реднее </w:t>
      </w:r>
      <w:r w:rsidR="00B709D0" w:rsidRPr="001561EF">
        <w:rPr>
          <w:rFonts w:ascii="Times New Roman" w:hAnsi="Times New Roman" w:cs="Times New Roman"/>
          <w:sz w:val="28"/>
          <w:szCs w:val="28"/>
        </w:rPr>
        <w:t xml:space="preserve">количество поданных заявок на участие в </w:t>
      </w:r>
      <w:r w:rsidR="002B67ED" w:rsidRPr="001561EF">
        <w:rPr>
          <w:rFonts w:ascii="Times New Roman" w:hAnsi="Times New Roman" w:cs="Times New Roman"/>
          <w:sz w:val="28"/>
          <w:szCs w:val="28"/>
        </w:rPr>
        <w:t xml:space="preserve">конкурентной </w:t>
      </w:r>
      <w:r w:rsidR="00B709D0" w:rsidRPr="001561EF">
        <w:rPr>
          <w:rFonts w:ascii="Times New Roman" w:hAnsi="Times New Roman" w:cs="Times New Roman"/>
          <w:sz w:val="28"/>
          <w:szCs w:val="28"/>
        </w:rPr>
        <w:t xml:space="preserve">закупке составило </w:t>
      </w:r>
      <w:r w:rsidR="001561EF">
        <w:rPr>
          <w:rFonts w:ascii="Times New Roman" w:hAnsi="Times New Roman" w:cs="Times New Roman"/>
          <w:b/>
          <w:sz w:val="28"/>
          <w:szCs w:val="28"/>
        </w:rPr>
        <w:t>2</w:t>
      </w:r>
      <w:r w:rsidR="00FA0CD6" w:rsidRPr="00156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B70" w:rsidRPr="001561EF">
        <w:rPr>
          <w:rFonts w:ascii="Times New Roman" w:hAnsi="Times New Roman" w:cs="Times New Roman"/>
          <w:b/>
          <w:sz w:val="28"/>
          <w:szCs w:val="28"/>
        </w:rPr>
        <w:t>заявки</w:t>
      </w:r>
      <w:r w:rsidR="0088024E" w:rsidRPr="001561EF">
        <w:rPr>
          <w:rFonts w:ascii="Times New Roman" w:hAnsi="Times New Roman" w:cs="Times New Roman"/>
          <w:sz w:val="28"/>
          <w:szCs w:val="28"/>
        </w:rPr>
        <w:t>.</w:t>
      </w:r>
      <w:r w:rsidR="00880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B5D" w:rsidRDefault="00FC7B5D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889" w:rsidRDefault="00612889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BEE" w:rsidRPr="00812C76" w:rsidRDefault="00926BEE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 ЗАКАЗЧИКАМИ КУРСКОЙ ОБЛАСТИ </w:t>
      </w:r>
    </w:p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655B1" w:rsidRDefault="00926BEE" w:rsidP="00E42D17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t>По результатам осуществления закупок в</w:t>
      </w:r>
      <w:r w:rsidR="00A452E3">
        <w:rPr>
          <w:rFonts w:ascii="Times New Roman" w:hAnsi="Times New Roman" w:cs="Times New Roman"/>
          <w:sz w:val="28"/>
          <w:szCs w:val="28"/>
        </w:rPr>
        <w:t xml:space="preserve"> </w:t>
      </w:r>
      <w:r w:rsidRPr="00926BEE">
        <w:rPr>
          <w:rFonts w:ascii="Times New Roman" w:hAnsi="Times New Roman" w:cs="Times New Roman"/>
          <w:b/>
          <w:sz w:val="28"/>
          <w:szCs w:val="28"/>
        </w:rPr>
        <w:t>202</w:t>
      </w:r>
      <w:r w:rsidR="000545E2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26BEE">
        <w:rPr>
          <w:rFonts w:ascii="Times New Roman" w:hAnsi="Times New Roman" w:cs="Times New Roman"/>
          <w:b/>
          <w:sz w:val="28"/>
          <w:szCs w:val="28"/>
        </w:rPr>
        <w:t>году</w:t>
      </w:r>
      <w:r w:rsidRPr="00812C76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 w:rsidR="00E86951" w:rsidRPr="00E86951">
        <w:rPr>
          <w:rFonts w:ascii="Times New Roman" w:hAnsi="Times New Roman" w:cs="Times New Roman"/>
          <w:b/>
          <w:sz w:val="28"/>
          <w:szCs w:val="28"/>
        </w:rPr>
        <w:t>12</w:t>
      </w:r>
      <w:r w:rsidR="00E86951">
        <w:rPr>
          <w:rFonts w:ascii="Times New Roman" w:hAnsi="Times New Roman" w:cs="Times New Roman"/>
          <w:b/>
          <w:sz w:val="28"/>
          <w:szCs w:val="28"/>
        </w:rPr>
        <w:t> </w:t>
      </w:r>
      <w:r w:rsidR="000545E2">
        <w:rPr>
          <w:rFonts w:ascii="Times New Roman" w:hAnsi="Times New Roman" w:cs="Times New Roman"/>
          <w:b/>
          <w:sz w:val="28"/>
          <w:szCs w:val="28"/>
        </w:rPr>
        <w:t>411</w:t>
      </w:r>
      <w:r w:rsidR="00E8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C76">
        <w:rPr>
          <w:rFonts w:ascii="Times New Roman" w:hAnsi="Times New Roman" w:cs="Times New Roman"/>
          <w:sz w:val="28"/>
          <w:szCs w:val="28"/>
        </w:rPr>
        <w:t>контракт</w:t>
      </w:r>
      <w:r w:rsidR="001F6D9A">
        <w:rPr>
          <w:rFonts w:ascii="Times New Roman" w:hAnsi="Times New Roman" w:cs="Times New Roman"/>
          <w:sz w:val="28"/>
          <w:szCs w:val="28"/>
        </w:rPr>
        <w:t>ов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общим </w:t>
      </w:r>
      <w:r w:rsidR="00FC7B5D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2C76">
        <w:rPr>
          <w:rFonts w:ascii="Times New Roman" w:hAnsi="Times New Roman" w:cs="Times New Roman"/>
          <w:sz w:val="28"/>
          <w:szCs w:val="28"/>
        </w:rPr>
        <w:t xml:space="preserve">бъемом </w:t>
      </w:r>
      <w:r w:rsidR="000545E2" w:rsidRPr="000545E2">
        <w:rPr>
          <w:rFonts w:ascii="Times New Roman" w:hAnsi="Times New Roman" w:cs="Times New Roman"/>
          <w:b/>
          <w:sz w:val="28"/>
          <w:szCs w:val="28"/>
        </w:rPr>
        <w:t>33  964,07</w:t>
      </w:r>
      <w:r w:rsidR="00054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37F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985D45">
        <w:rPr>
          <w:rFonts w:ascii="Times New Roman" w:hAnsi="Times New Roman" w:cs="Times New Roman"/>
          <w:b/>
          <w:sz w:val="28"/>
          <w:szCs w:val="28"/>
        </w:rPr>
        <w:t>.,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>из них</w:t>
      </w:r>
      <w:r w:rsidR="00E655B1">
        <w:rPr>
          <w:rFonts w:ascii="Times New Roman" w:hAnsi="Times New Roman" w:cs="Times New Roman"/>
          <w:sz w:val="28"/>
          <w:szCs w:val="28"/>
        </w:rPr>
        <w:t>:</w:t>
      </w:r>
    </w:p>
    <w:p w:rsidR="00E655B1" w:rsidRDefault="00E655B1" w:rsidP="00E42D17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BEE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E97E75" w:rsidRPr="00E97E75">
        <w:rPr>
          <w:rFonts w:ascii="Times New Roman" w:hAnsi="Times New Roman" w:cs="Times New Roman"/>
          <w:b/>
          <w:sz w:val="28"/>
          <w:szCs w:val="28"/>
        </w:rPr>
        <w:t>3 764</w:t>
      </w:r>
      <w:r w:rsidR="00E8695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26BEE" w:rsidRPr="00290B97">
        <w:rPr>
          <w:rFonts w:ascii="Times New Roman" w:hAnsi="Times New Roman" w:cs="Times New Roman"/>
          <w:sz w:val="28"/>
          <w:szCs w:val="28"/>
        </w:rPr>
        <w:t>контракт</w:t>
      </w:r>
      <w:r w:rsidR="00E97E75">
        <w:rPr>
          <w:rFonts w:ascii="Times New Roman" w:hAnsi="Times New Roman" w:cs="Times New Roman"/>
          <w:sz w:val="28"/>
          <w:szCs w:val="28"/>
        </w:rPr>
        <w:t>а</w:t>
      </w:r>
      <w:r w:rsidR="00AF1E99">
        <w:rPr>
          <w:rFonts w:ascii="Times New Roman" w:hAnsi="Times New Roman" w:cs="Times New Roman"/>
          <w:sz w:val="28"/>
          <w:szCs w:val="28"/>
        </w:rPr>
        <w:t xml:space="preserve"> общей суммарной стоимостью</w:t>
      </w:r>
      <w:r w:rsidR="00926BEE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E97E75">
        <w:rPr>
          <w:rFonts w:ascii="Times New Roman" w:hAnsi="Times New Roman" w:cs="Times New Roman"/>
          <w:b/>
          <w:sz w:val="28"/>
          <w:szCs w:val="28"/>
        </w:rPr>
        <w:t>3 364,72</w:t>
      </w:r>
      <w:r w:rsidR="00E8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BEE" w:rsidRPr="008D792C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926BEE" w:rsidRPr="00290B97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926BEE">
        <w:rPr>
          <w:rFonts w:ascii="Times New Roman" w:hAnsi="Times New Roman" w:cs="Times New Roman"/>
          <w:sz w:val="28"/>
          <w:szCs w:val="28"/>
        </w:rPr>
        <w:t>ы</w:t>
      </w:r>
      <w:r w:rsidR="00926BEE" w:rsidRPr="00290B97">
        <w:rPr>
          <w:rFonts w:ascii="Times New Roman" w:hAnsi="Times New Roman" w:cs="Times New Roman"/>
          <w:sz w:val="28"/>
          <w:szCs w:val="28"/>
        </w:rPr>
        <w:t xml:space="preserve"> с единственным поставщиком (подрядчиком, исполнителем) (в </w:t>
      </w:r>
      <w:r w:rsidR="000545E2">
        <w:rPr>
          <w:rFonts w:ascii="Times New Roman" w:hAnsi="Times New Roman" w:cs="Times New Roman"/>
          <w:sz w:val="28"/>
          <w:szCs w:val="28"/>
        </w:rPr>
        <w:t xml:space="preserve">их числе </w:t>
      </w:r>
      <w:r w:rsidR="00E86951" w:rsidRPr="00E86951">
        <w:rPr>
          <w:rFonts w:ascii="Times New Roman" w:hAnsi="Times New Roman" w:cs="Times New Roman"/>
          <w:b/>
          <w:sz w:val="28"/>
          <w:szCs w:val="28"/>
        </w:rPr>
        <w:t>1</w:t>
      </w:r>
      <w:r w:rsidR="00E97E75">
        <w:rPr>
          <w:rFonts w:ascii="Times New Roman" w:hAnsi="Times New Roman" w:cs="Times New Roman"/>
          <w:b/>
          <w:sz w:val="28"/>
          <w:szCs w:val="28"/>
        </w:rPr>
        <w:t xml:space="preserve"> 678</w:t>
      </w:r>
      <w:r w:rsidR="00E8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BEE">
        <w:rPr>
          <w:rFonts w:ascii="Times New Roman" w:hAnsi="Times New Roman" w:cs="Times New Roman"/>
          <w:sz w:val="28"/>
          <w:szCs w:val="28"/>
        </w:rPr>
        <w:t>контракт</w:t>
      </w:r>
      <w:r w:rsidR="00E97E75">
        <w:rPr>
          <w:rFonts w:ascii="Times New Roman" w:hAnsi="Times New Roman" w:cs="Times New Roman"/>
          <w:sz w:val="28"/>
          <w:szCs w:val="28"/>
        </w:rPr>
        <w:t>ов</w:t>
      </w:r>
      <w:r w:rsidR="00926BEE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97E75">
        <w:rPr>
          <w:rFonts w:ascii="Times New Roman" w:hAnsi="Times New Roman" w:cs="Times New Roman"/>
          <w:b/>
          <w:sz w:val="28"/>
          <w:szCs w:val="28"/>
        </w:rPr>
        <w:t>312,32</w:t>
      </w:r>
      <w:r w:rsidR="00E8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BEE" w:rsidRPr="008D792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9612D2">
        <w:rPr>
          <w:rFonts w:ascii="Times New Roman" w:hAnsi="Times New Roman" w:cs="Times New Roman"/>
          <w:b/>
          <w:sz w:val="28"/>
          <w:szCs w:val="28"/>
        </w:rPr>
        <w:t>.</w:t>
      </w:r>
      <w:r w:rsidR="00E91F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5B81" w:rsidRPr="00E91FFC">
        <w:rPr>
          <w:rFonts w:ascii="Times New Roman" w:hAnsi="Times New Roman" w:cs="Times New Roman"/>
          <w:sz w:val="28"/>
          <w:szCs w:val="28"/>
        </w:rPr>
        <w:t>заключены</w:t>
      </w:r>
      <w:r w:rsidR="00E336DD">
        <w:rPr>
          <w:rFonts w:ascii="Times New Roman" w:hAnsi="Times New Roman" w:cs="Times New Roman"/>
          <w:sz w:val="28"/>
          <w:szCs w:val="28"/>
        </w:rPr>
        <w:t xml:space="preserve"> </w:t>
      </w:r>
      <w:r w:rsidR="00E91FFC" w:rsidRPr="00290B97">
        <w:rPr>
          <w:rFonts w:ascii="Times New Roman" w:hAnsi="Times New Roman" w:cs="Times New Roman"/>
          <w:sz w:val="28"/>
          <w:szCs w:val="28"/>
        </w:rPr>
        <w:t>с использованием модуля «Малые закупки»</w:t>
      </w:r>
      <w:r w:rsidR="00926BEE" w:rsidRPr="00290B97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926BEE" w:rsidRDefault="00E655B1" w:rsidP="00E42D17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97E75">
        <w:rPr>
          <w:rFonts w:ascii="Times New Roman" w:hAnsi="Times New Roman" w:cs="Times New Roman"/>
          <w:b/>
          <w:sz w:val="28"/>
          <w:szCs w:val="28"/>
        </w:rPr>
        <w:t>8 647</w:t>
      </w:r>
      <w:r w:rsidR="00E42D17">
        <w:rPr>
          <w:rFonts w:ascii="Times New Roman" w:hAnsi="Times New Roman" w:cs="Times New Roman"/>
          <w:sz w:val="28"/>
          <w:szCs w:val="28"/>
        </w:rPr>
        <w:t xml:space="preserve"> </w:t>
      </w:r>
      <w:r w:rsidR="00E42D17" w:rsidRPr="00FC7B5D">
        <w:rPr>
          <w:rFonts w:ascii="Times New Roman" w:hAnsi="Times New Roman" w:cs="Times New Roman"/>
          <w:sz w:val="28"/>
          <w:szCs w:val="28"/>
        </w:rPr>
        <w:t>контрактов</w:t>
      </w:r>
      <w:r w:rsidR="00E42D17">
        <w:rPr>
          <w:rFonts w:ascii="Times New Roman" w:hAnsi="Times New Roman" w:cs="Times New Roman"/>
          <w:sz w:val="28"/>
          <w:szCs w:val="28"/>
        </w:rPr>
        <w:t xml:space="preserve"> </w:t>
      </w:r>
      <w:r w:rsidR="00E42D17" w:rsidRPr="009F5CB5">
        <w:rPr>
          <w:rFonts w:ascii="Times New Roman" w:hAnsi="Times New Roman" w:cs="Times New Roman"/>
          <w:sz w:val="28"/>
          <w:szCs w:val="28"/>
        </w:rPr>
        <w:t>общим стоимостным  объемом</w:t>
      </w:r>
      <w:r w:rsidR="00E42D17">
        <w:rPr>
          <w:rFonts w:ascii="Times New Roman" w:hAnsi="Times New Roman" w:cs="Times New Roman"/>
          <w:sz w:val="28"/>
          <w:szCs w:val="28"/>
        </w:rPr>
        <w:t xml:space="preserve"> </w:t>
      </w:r>
      <w:r w:rsidR="00E97E75">
        <w:rPr>
          <w:rFonts w:ascii="Times New Roman" w:hAnsi="Times New Roman" w:cs="Times New Roman"/>
          <w:b/>
          <w:sz w:val="28"/>
          <w:szCs w:val="28"/>
        </w:rPr>
        <w:t>30 599,3</w:t>
      </w:r>
      <w:r w:rsidR="000545E2">
        <w:rPr>
          <w:rFonts w:ascii="Times New Roman" w:hAnsi="Times New Roman" w:cs="Times New Roman"/>
          <w:b/>
          <w:sz w:val="28"/>
          <w:szCs w:val="28"/>
        </w:rPr>
        <w:t>5</w:t>
      </w:r>
      <w:r w:rsidR="00E42D17">
        <w:rPr>
          <w:rFonts w:ascii="Times New Roman" w:hAnsi="Times New Roman" w:cs="Times New Roman"/>
          <w:sz w:val="28"/>
          <w:szCs w:val="28"/>
        </w:rPr>
        <w:t xml:space="preserve"> </w:t>
      </w:r>
      <w:r w:rsidR="00E42D17" w:rsidRPr="009F5CB5">
        <w:rPr>
          <w:rFonts w:ascii="Times New Roman" w:hAnsi="Times New Roman" w:cs="Times New Roman"/>
          <w:b/>
          <w:sz w:val="28"/>
          <w:szCs w:val="28"/>
        </w:rPr>
        <w:t>млн. руб</w:t>
      </w:r>
      <w:r w:rsidR="00E42D17" w:rsidRPr="009F5CB5">
        <w:rPr>
          <w:rFonts w:ascii="Times New Roman" w:hAnsi="Times New Roman" w:cs="Times New Roman"/>
          <w:sz w:val="28"/>
          <w:szCs w:val="28"/>
        </w:rPr>
        <w:t xml:space="preserve">. </w:t>
      </w:r>
      <w:r w:rsidR="00E42D17">
        <w:rPr>
          <w:rFonts w:ascii="Times New Roman" w:hAnsi="Times New Roman" w:cs="Times New Roman"/>
          <w:sz w:val="28"/>
          <w:szCs w:val="28"/>
        </w:rPr>
        <w:t xml:space="preserve">заключены </w:t>
      </w:r>
      <w:r w:rsidR="00EB220E">
        <w:rPr>
          <w:rFonts w:ascii="Times New Roman" w:hAnsi="Times New Roman" w:cs="Times New Roman"/>
          <w:sz w:val="28"/>
          <w:szCs w:val="28"/>
        </w:rPr>
        <w:t>по ре</w:t>
      </w:r>
      <w:r w:rsidR="00E42D17" w:rsidRPr="00FC7B5D">
        <w:rPr>
          <w:rFonts w:ascii="Times New Roman" w:hAnsi="Times New Roman" w:cs="Times New Roman"/>
          <w:sz w:val="28"/>
          <w:szCs w:val="28"/>
        </w:rPr>
        <w:t>зультатам</w:t>
      </w:r>
      <w:r w:rsidR="00E42D17">
        <w:rPr>
          <w:rFonts w:ascii="Times New Roman" w:hAnsi="Times New Roman" w:cs="Times New Roman"/>
          <w:sz w:val="28"/>
          <w:szCs w:val="28"/>
        </w:rPr>
        <w:t xml:space="preserve"> конкурентных процедур.</w:t>
      </w:r>
    </w:p>
    <w:p w:rsidR="000545E2" w:rsidRPr="00812C76" w:rsidRDefault="000545E2" w:rsidP="00E42D17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>Таблица 3.</w:t>
      </w:r>
      <w:r w:rsidR="000545E2">
        <w:rPr>
          <w:rFonts w:ascii="Times New Roman" w:hAnsi="Times New Roman" w:cs="Times New Roman"/>
          <w:sz w:val="28"/>
          <w:szCs w:val="28"/>
        </w:rPr>
        <w:t xml:space="preserve"> Количество </w:t>
      </w:r>
      <w:r w:rsidRPr="00812C76">
        <w:rPr>
          <w:rFonts w:ascii="Times New Roman" w:hAnsi="Times New Roman" w:cs="Times New Roman"/>
          <w:sz w:val="28"/>
          <w:szCs w:val="28"/>
        </w:rPr>
        <w:t>и объем заключенных контрактов государственными заказчиками Курской области.</w:t>
      </w:r>
    </w:p>
    <w:p w:rsidR="00926BEE" w:rsidRPr="00812C76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-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1843"/>
        <w:gridCol w:w="2233"/>
      </w:tblGrid>
      <w:tr w:rsidR="00926BEE" w:rsidRPr="008814AB" w:rsidTr="008814AB">
        <w:trPr>
          <w:cnfStyle w:val="100000000000"/>
          <w:trHeight w:val="515"/>
        </w:trPr>
        <w:tc>
          <w:tcPr>
            <w:cnfStyle w:val="001000000000"/>
            <w:tcW w:w="5103" w:type="dxa"/>
            <w:vMerge w:val="restart"/>
            <w:shd w:val="clear" w:color="auto" w:fill="8DB3E2" w:themeFill="text2" w:themeFillTint="66"/>
          </w:tcPr>
          <w:p w:rsidR="00926BEE" w:rsidRPr="008814AB" w:rsidRDefault="00926BEE" w:rsidP="008814AB">
            <w:pPr>
              <w:jc w:val="center"/>
              <w:rPr>
                <w:rFonts w:ascii="Times New Roman" w:hAnsi="Times New Roman" w:cs="Times New Roman"/>
              </w:rPr>
            </w:pPr>
            <w:r w:rsidRPr="008814AB">
              <w:rPr>
                <w:rFonts w:ascii="Times New Roman" w:hAnsi="Times New Roman" w:cs="Times New Roman"/>
              </w:rPr>
              <w:t>Способ определения поставщика (подрядчика, исполнителя)</w:t>
            </w:r>
          </w:p>
        </w:tc>
        <w:tc>
          <w:tcPr>
            <w:tcW w:w="4076" w:type="dxa"/>
            <w:gridSpan w:val="2"/>
            <w:shd w:val="clear" w:color="auto" w:fill="8DB3E2" w:themeFill="text2" w:themeFillTint="66"/>
          </w:tcPr>
          <w:p w:rsidR="00926BEE" w:rsidRPr="008814AB" w:rsidRDefault="00926BEE" w:rsidP="008814AB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 w:rsidRPr="008814AB">
              <w:rPr>
                <w:rFonts w:ascii="Times New Roman" w:hAnsi="Times New Roman" w:cs="Times New Roman"/>
              </w:rPr>
              <w:t>202</w:t>
            </w:r>
            <w:r w:rsidR="000545E2" w:rsidRPr="008814AB">
              <w:rPr>
                <w:rFonts w:ascii="Times New Roman" w:hAnsi="Times New Roman" w:cs="Times New Roman"/>
              </w:rPr>
              <w:t>5</w:t>
            </w:r>
            <w:r w:rsidRPr="008814A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26BEE" w:rsidRPr="008814AB" w:rsidTr="008814AB">
        <w:trPr>
          <w:cnfStyle w:val="000000100000"/>
          <w:trHeight w:val="566"/>
        </w:trPr>
        <w:tc>
          <w:tcPr>
            <w:cnfStyle w:val="001000000000"/>
            <w:tcW w:w="5103" w:type="dxa"/>
            <w:vMerge/>
            <w:shd w:val="clear" w:color="auto" w:fill="8DB3E2" w:themeFill="text2" w:themeFillTint="66"/>
          </w:tcPr>
          <w:p w:rsidR="00926BEE" w:rsidRPr="008814AB" w:rsidRDefault="00926BEE" w:rsidP="008814A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shd w:val="clear" w:color="auto" w:fill="8DB3E2" w:themeFill="text2" w:themeFillTint="66"/>
          </w:tcPr>
          <w:p w:rsidR="00926BEE" w:rsidRPr="008814AB" w:rsidRDefault="00926BEE" w:rsidP="008814AB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8814AB">
              <w:rPr>
                <w:rFonts w:ascii="Times New Roman" w:hAnsi="Times New Roman" w:cs="Times New Roman"/>
                <w:b/>
              </w:rPr>
              <w:t>Количество контрактов, шт.</w:t>
            </w:r>
          </w:p>
        </w:tc>
        <w:tc>
          <w:tcPr>
            <w:tcW w:w="2233" w:type="dxa"/>
            <w:shd w:val="clear" w:color="auto" w:fill="8DB3E2" w:themeFill="text2" w:themeFillTint="66"/>
          </w:tcPr>
          <w:p w:rsidR="00926BEE" w:rsidRPr="008814AB" w:rsidRDefault="00926BEE" w:rsidP="008814AB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8814AB">
              <w:rPr>
                <w:rFonts w:ascii="Times New Roman" w:hAnsi="Times New Roman" w:cs="Times New Roman"/>
                <w:b/>
              </w:rPr>
              <w:t>Цена контракта, млн. руб.</w:t>
            </w:r>
          </w:p>
        </w:tc>
      </w:tr>
      <w:tr w:rsidR="00926BEE" w:rsidRPr="008814AB" w:rsidTr="008814AB">
        <w:trPr>
          <w:trHeight w:val="411"/>
        </w:trPr>
        <w:tc>
          <w:tcPr>
            <w:cnfStyle w:val="001000000000"/>
            <w:tcW w:w="5103" w:type="dxa"/>
          </w:tcPr>
          <w:p w:rsidR="00926BEE" w:rsidRPr="008814AB" w:rsidRDefault="00926BEE" w:rsidP="008814AB">
            <w:pPr>
              <w:rPr>
                <w:rFonts w:ascii="Times New Roman" w:hAnsi="Times New Roman" w:cs="Times New Roman"/>
              </w:rPr>
            </w:pPr>
            <w:r w:rsidRPr="008814AB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1843" w:type="dxa"/>
          </w:tcPr>
          <w:p w:rsidR="00926BEE" w:rsidRPr="008814AB" w:rsidRDefault="006A3BD3" w:rsidP="008814AB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8814AB">
              <w:rPr>
                <w:rFonts w:ascii="Times New Roman" w:hAnsi="Times New Roman" w:cs="Times New Roman"/>
                <w:b/>
              </w:rPr>
              <w:t>7</w:t>
            </w:r>
            <w:r w:rsidR="00E97E75" w:rsidRPr="008814AB">
              <w:rPr>
                <w:rFonts w:ascii="Times New Roman" w:hAnsi="Times New Roman" w:cs="Times New Roman"/>
                <w:b/>
              </w:rPr>
              <w:t xml:space="preserve"> 021</w:t>
            </w:r>
          </w:p>
        </w:tc>
        <w:tc>
          <w:tcPr>
            <w:tcW w:w="2233" w:type="dxa"/>
          </w:tcPr>
          <w:p w:rsidR="00926BEE" w:rsidRPr="008814AB" w:rsidRDefault="00E97E75" w:rsidP="008814AB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8814AB">
              <w:rPr>
                <w:rFonts w:ascii="Times New Roman" w:hAnsi="Times New Roman" w:cs="Times New Roman"/>
                <w:b/>
              </w:rPr>
              <w:t>16 326,07</w:t>
            </w:r>
          </w:p>
        </w:tc>
      </w:tr>
      <w:tr w:rsidR="00926BEE" w:rsidRPr="008814AB" w:rsidTr="008814AB">
        <w:trPr>
          <w:cnfStyle w:val="000000100000"/>
          <w:trHeight w:val="275"/>
        </w:trPr>
        <w:tc>
          <w:tcPr>
            <w:cnfStyle w:val="001000000000"/>
            <w:tcW w:w="5103" w:type="dxa"/>
          </w:tcPr>
          <w:p w:rsidR="00926BEE" w:rsidRPr="008814AB" w:rsidRDefault="00926BEE" w:rsidP="008814AB">
            <w:pPr>
              <w:rPr>
                <w:rFonts w:ascii="Times New Roman" w:hAnsi="Times New Roman" w:cs="Times New Roman"/>
                <w:b w:val="0"/>
                <w:i/>
              </w:rPr>
            </w:pPr>
            <w:r w:rsidRPr="008814AB">
              <w:rPr>
                <w:rFonts w:ascii="Times New Roman" w:hAnsi="Times New Roman" w:cs="Times New Roman"/>
                <w:b w:val="0"/>
                <w:i/>
              </w:rPr>
              <w:t>в т.ч. по п.25 ч.1 ст.93 44-ФЗ</w:t>
            </w:r>
          </w:p>
        </w:tc>
        <w:tc>
          <w:tcPr>
            <w:tcW w:w="1843" w:type="dxa"/>
          </w:tcPr>
          <w:p w:rsidR="00926BEE" w:rsidRPr="008814AB" w:rsidRDefault="005F3D30" w:rsidP="008814AB">
            <w:pPr>
              <w:jc w:val="center"/>
              <w:cnfStyle w:val="000000100000"/>
              <w:rPr>
                <w:rFonts w:ascii="Times New Roman" w:hAnsi="Times New Roman" w:cs="Times New Roman"/>
                <w:i/>
                <w:lang w:val="en-US"/>
              </w:rPr>
            </w:pPr>
            <w:r w:rsidRPr="008814AB">
              <w:rPr>
                <w:rFonts w:ascii="Times New Roman" w:hAnsi="Times New Roman" w:cs="Times New Roman"/>
                <w:i/>
              </w:rPr>
              <w:t>3 604</w:t>
            </w:r>
          </w:p>
        </w:tc>
        <w:tc>
          <w:tcPr>
            <w:tcW w:w="2233" w:type="dxa"/>
          </w:tcPr>
          <w:p w:rsidR="00926BEE" w:rsidRPr="008814AB" w:rsidRDefault="005F3D30" w:rsidP="008814AB">
            <w:pPr>
              <w:jc w:val="center"/>
              <w:cnfStyle w:val="000000100000"/>
              <w:rPr>
                <w:rFonts w:ascii="Times New Roman" w:hAnsi="Times New Roman" w:cs="Times New Roman"/>
                <w:i/>
              </w:rPr>
            </w:pPr>
            <w:r w:rsidRPr="008814AB">
              <w:rPr>
                <w:rFonts w:ascii="Times New Roman" w:hAnsi="Times New Roman" w:cs="Times New Roman"/>
                <w:i/>
              </w:rPr>
              <w:t>9 866,90</w:t>
            </w:r>
          </w:p>
        </w:tc>
      </w:tr>
      <w:tr w:rsidR="00926BEE" w:rsidRPr="008814AB" w:rsidTr="008814AB">
        <w:trPr>
          <w:trHeight w:val="486"/>
        </w:trPr>
        <w:tc>
          <w:tcPr>
            <w:cnfStyle w:val="001000000000"/>
            <w:tcW w:w="5103" w:type="dxa"/>
          </w:tcPr>
          <w:p w:rsidR="00926BEE" w:rsidRPr="008814AB" w:rsidRDefault="00926BEE" w:rsidP="008814AB">
            <w:pPr>
              <w:rPr>
                <w:rFonts w:ascii="Times New Roman" w:hAnsi="Times New Roman" w:cs="Times New Roman"/>
              </w:rPr>
            </w:pPr>
            <w:r w:rsidRPr="008814AB">
              <w:rPr>
                <w:rFonts w:ascii="Times New Roman" w:hAnsi="Times New Roman" w:cs="Times New Roman"/>
              </w:rPr>
              <w:t>Открытый конкурс в электронной форме</w:t>
            </w:r>
          </w:p>
        </w:tc>
        <w:tc>
          <w:tcPr>
            <w:tcW w:w="1843" w:type="dxa"/>
          </w:tcPr>
          <w:p w:rsidR="00926BEE" w:rsidRPr="008814AB" w:rsidRDefault="00E97E75" w:rsidP="008814AB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8814AB">
              <w:rPr>
                <w:rFonts w:ascii="Times New Roman" w:hAnsi="Times New Roman" w:cs="Times New Roman"/>
                <w:b/>
              </w:rPr>
              <w:t>241</w:t>
            </w:r>
          </w:p>
        </w:tc>
        <w:tc>
          <w:tcPr>
            <w:tcW w:w="2233" w:type="dxa"/>
          </w:tcPr>
          <w:p w:rsidR="00926BEE" w:rsidRPr="008814AB" w:rsidRDefault="00E97E75" w:rsidP="008814AB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8814AB">
              <w:rPr>
                <w:rFonts w:ascii="Times New Roman" w:hAnsi="Times New Roman" w:cs="Times New Roman"/>
                <w:b/>
              </w:rPr>
              <w:t>12 836,41</w:t>
            </w:r>
          </w:p>
        </w:tc>
      </w:tr>
      <w:tr w:rsidR="00926BEE" w:rsidRPr="008814AB" w:rsidTr="008814AB">
        <w:trPr>
          <w:cnfStyle w:val="000000100000"/>
          <w:trHeight w:val="260"/>
        </w:trPr>
        <w:tc>
          <w:tcPr>
            <w:cnfStyle w:val="001000000000"/>
            <w:tcW w:w="5103" w:type="dxa"/>
          </w:tcPr>
          <w:p w:rsidR="00926BEE" w:rsidRPr="008814AB" w:rsidRDefault="00926BEE" w:rsidP="008814AB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8814AB">
              <w:rPr>
                <w:rFonts w:ascii="Times New Roman" w:hAnsi="Times New Roman" w:cs="Times New Roman"/>
                <w:b w:val="0"/>
                <w:i/>
              </w:rPr>
              <w:t>в т.ч. по п.25 ч.1 ст.93 44-ФЗ</w:t>
            </w:r>
          </w:p>
        </w:tc>
        <w:tc>
          <w:tcPr>
            <w:tcW w:w="1843" w:type="dxa"/>
          </w:tcPr>
          <w:p w:rsidR="00926BEE" w:rsidRPr="008814AB" w:rsidRDefault="005F3D30" w:rsidP="008814AB">
            <w:pPr>
              <w:jc w:val="center"/>
              <w:cnfStyle w:val="000000100000"/>
              <w:rPr>
                <w:rFonts w:ascii="Times New Roman" w:hAnsi="Times New Roman" w:cs="Times New Roman"/>
                <w:i/>
              </w:rPr>
            </w:pPr>
            <w:r w:rsidRPr="008814AB">
              <w:rPr>
                <w:rFonts w:ascii="Times New Roman" w:hAnsi="Times New Roman" w:cs="Times New Roman"/>
                <w:i/>
              </w:rPr>
              <w:t>129</w:t>
            </w:r>
          </w:p>
        </w:tc>
        <w:tc>
          <w:tcPr>
            <w:tcW w:w="2233" w:type="dxa"/>
          </w:tcPr>
          <w:p w:rsidR="00926BEE" w:rsidRPr="008814AB" w:rsidRDefault="005F3D30" w:rsidP="008814AB">
            <w:pPr>
              <w:jc w:val="center"/>
              <w:cnfStyle w:val="000000100000"/>
              <w:rPr>
                <w:rFonts w:ascii="Times New Roman" w:hAnsi="Times New Roman" w:cs="Times New Roman"/>
                <w:i/>
              </w:rPr>
            </w:pPr>
            <w:r w:rsidRPr="008814AB">
              <w:rPr>
                <w:rFonts w:ascii="Times New Roman" w:hAnsi="Times New Roman" w:cs="Times New Roman"/>
                <w:i/>
              </w:rPr>
              <w:t>5 741,06</w:t>
            </w:r>
          </w:p>
        </w:tc>
      </w:tr>
      <w:tr w:rsidR="00926BEE" w:rsidRPr="008814AB" w:rsidTr="008814AB">
        <w:trPr>
          <w:trHeight w:val="417"/>
        </w:trPr>
        <w:tc>
          <w:tcPr>
            <w:cnfStyle w:val="001000000000"/>
            <w:tcW w:w="5103" w:type="dxa"/>
          </w:tcPr>
          <w:p w:rsidR="00926BEE" w:rsidRPr="008814AB" w:rsidRDefault="00926BEE" w:rsidP="008814AB">
            <w:pPr>
              <w:rPr>
                <w:rFonts w:ascii="Times New Roman" w:hAnsi="Times New Roman" w:cs="Times New Roman"/>
              </w:rPr>
            </w:pPr>
            <w:r w:rsidRPr="008814AB">
              <w:rPr>
                <w:rFonts w:ascii="Times New Roman" w:hAnsi="Times New Roman" w:cs="Times New Roman"/>
              </w:rPr>
              <w:t>Запрос котировок в электронной форме</w:t>
            </w:r>
          </w:p>
        </w:tc>
        <w:tc>
          <w:tcPr>
            <w:tcW w:w="1843" w:type="dxa"/>
          </w:tcPr>
          <w:p w:rsidR="00926BEE" w:rsidRPr="008814AB" w:rsidRDefault="00E97E75" w:rsidP="008814AB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8814AB">
              <w:rPr>
                <w:rFonts w:ascii="Times New Roman" w:hAnsi="Times New Roman" w:cs="Times New Roman"/>
                <w:b/>
              </w:rPr>
              <w:t>1 385</w:t>
            </w:r>
          </w:p>
        </w:tc>
        <w:tc>
          <w:tcPr>
            <w:tcW w:w="2233" w:type="dxa"/>
          </w:tcPr>
          <w:p w:rsidR="007A5048" w:rsidRPr="008814AB" w:rsidRDefault="00E97E75" w:rsidP="008814AB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8814AB">
              <w:rPr>
                <w:rFonts w:ascii="Times New Roman" w:hAnsi="Times New Roman" w:cs="Times New Roman"/>
                <w:b/>
              </w:rPr>
              <w:t>1 436,87</w:t>
            </w:r>
          </w:p>
        </w:tc>
      </w:tr>
      <w:tr w:rsidR="00926BEE" w:rsidRPr="008814AB" w:rsidTr="008814AB">
        <w:trPr>
          <w:cnfStyle w:val="000000100000"/>
          <w:trHeight w:val="242"/>
        </w:trPr>
        <w:tc>
          <w:tcPr>
            <w:cnfStyle w:val="001000000000"/>
            <w:tcW w:w="5103" w:type="dxa"/>
          </w:tcPr>
          <w:p w:rsidR="00926BEE" w:rsidRPr="008814AB" w:rsidRDefault="00926BEE" w:rsidP="008814AB">
            <w:pPr>
              <w:rPr>
                <w:rFonts w:ascii="Times New Roman" w:hAnsi="Times New Roman" w:cs="Times New Roman"/>
                <w:b w:val="0"/>
                <w:i/>
              </w:rPr>
            </w:pPr>
            <w:r w:rsidRPr="008814AB">
              <w:rPr>
                <w:rFonts w:ascii="Times New Roman" w:hAnsi="Times New Roman" w:cs="Times New Roman"/>
                <w:b w:val="0"/>
                <w:i/>
              </w:rPr>
              <w:t>в т.ч. по п.25 ч.1 ст.93 44-ФЗ</w:t>
            </w:r>
          </w:p>
        </w:tc>
        <w:tc>
          <w:tcPr>
            <w:tcW w:w="1843" w:type="dxa"/>
          </w:tcPr>
          <w:p w:rsidR="00926BEE" w:rsidRPr="008814AB" w:rsidRDefault="005F3D30" w:rsidP="008814AB">
            <w:pPr>
              <w:jc w:val="center"/>
              <w:cnfStyle w:val="000000100000"/>
              <w:rPr>
                <w:rFonts w:ascii="Times New Roman" w:hAnsi="Times New Roman" w:cs="Times New Roman"/>
                <w:i/>
              </w:rPr>
            </w:pPr>
            <w:r w:rsidRPr="008814AB">
              <w:rPr>
                <w:rFonts w:ascii="Times New Roman" w:hAnsi="Times New Roman" w:cs="Times New Roman"/>
                <w:i/>
              </w:rPr>
              <w:t>794</w:t>
            </w:r>
          </w:p>
        </w:tc>
        <w:tc>
          <w:tcPr>
            <w:tcW w:w="2233" w:type="dxa"/>
          </w:tcPr>
          <w:p w:rsidR="00926BEE" w:rsidRPr="008814AB" w:rsidRDefault="005F3D30" w:rsidP="008814AB">
            <w:pPr>
              <w:jc w:val="center"/>
              <w:cnfStyle w:val="000000100000"/>
              <w:rPr>
                <w:rFonts w:ascii="Times New Roman" w:hAnsi="Times New Roman" w:cs="Times New Roman"/>
                <w:i/>
              </w:rPr>
            </w:pPr>
            <w:r w:rsidRPr="008814AB">
              <w:rPr>
                <w:rFonts w:ascii="Times New Roman" w:hAnsi="Times New Roman" w:cs="Times New Roman"/>
                <w:i/>
              </w:rPr>
              <w:t>971,07</w:t>
            </w:r>
          </w:p>
        </w:tc>
      </w:tr>
      <w:tr w:rsidR="00926BEE" w:rsidRPr="008814AB" w:rsidTr="008814AB">
        <w:trPr>
          <w:trHeight w:val="824"/>
        </w:trPr>
        <w:tc>
          <w:tcPr>
            <w:cnfStyle w:val="001000000000"/>
            <w:tcW w:w="5103" w:type="dxa"/>
          </w:tcPr>
          <w:p w:rsidR="00926BEE" w:rsidRPr="008814AB" w:rsidRDefault="00926BEE" w:rsidP="008814AB">
            <w:pPr>
              <w:rPr>
                <w:rFonts w:ascii="Times New Roman" w:hAnsi="Times New Roman" w:cs="Times New Roman"/>
              </w:rPr>
            </w:pPr>
            <w:r w:rsidRPr="008814AB">
              <w:rPr>
                <w:rFonts w:ascii="Times New Roman" w:hAnsi="Times New Roman" w:cs="Times New Roman"/>
              </w:rPr>
              <w:t>Закупка у единственного поставщика (подрядчика, исполнителя)</w:t>
            </w:r>
          </w:p>
        </w:tc>
        <w:tc>
          <w:tcPr>
            <w:tcW w:w="1843" w:type="dxa"/>
          </w:tcPr>
          <w:p w:rsidR="00926BEE" w:rsidRPr="008814AB" w:rsidRDefault="00E97E75" w:rsidP="008814AB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8814AB">
              <w:rPr>
                <w:rFonts w:ascii="Times New Roman" w:hAnsi="Times New Roman" w:cs="Times New Roman"/>
                <w:b/>
              </w:rPr>
              <w:t>3 764</w:t>
            </w:r>
          </w:p>
        </w:tc>
        <w:tc>
          <w:tcPr>
            <w:tcW w:w="2233" w:type="dxa"/>
          </w:tcPr>
          <w:p w:rsidR="00926BEE" w:rsidRPr="008814AB" w:rsidRDefault="00E97E75" w:rsidP="008814AB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8814AB">
              <w:rPr>
                <w:rFonts w:ascii="Times New Roman" w:hAnsi="Times New Roman" w:cs="Times New Roman"/>
                <w:b/>
              </w:rPr>
              <w:t xml:space="preserve"> 3 364,72</w:t>
            </w:r>
          </w:p>
        </w:tc>
      </w:tr>
      <w:tr w:rsidR="00926BEE" w:rsidRPr="008814AB" w:rsidTr="008814AB">
        <w:trPr>
          <w:cnfStyle w:val="000000100000"/>
          <w:trHeight w:val="456"/>
        </w:trPr>
        <w:tc>
          <w:tcPr>
            <w:cnfStyle w:val="001000000000"/>
            <w:tcW w:w="5103" w:type="dxa"/>
          </w:tcPr>
          <w:p w:rsidR="00926BEE" w:rsidRPr="008814AB" w:rsidRDefault="00926BEE" w:rsidP="008814AB">
            <w:pPr>
              <w:rPr>
                <w:rFonts w:ascii="Times New Roman" w:hAnsi="Times New Roman" w:cs="Times New Roman"/>
                <w:b w:val="0"/>
              </w:rPr>
            </w:pPr>
            <w:r w:rsidRPr="008814AB">
              <w:rPr>
                <w:rFonts w:ascii="Times New Roman" w:hAnsi="Times New Roman" w:cs="Times New Roman"/>
                <w:b w:val="0"/>
              </w:rPr>
              <w:t>в т.ч. с использованием модуля «Малые закупки»</w:t>
            </w:r>
          </w:p>
        </w:tc>
        <w:tc>
          <w:tcPr>
            <w:tcW w:w="1843" w:type="dxa"/>
          </w:tcPr>
          <w:p w:rsidR="00926BEE" w:rsidRPr="008814AB" w:rsidRDefault="00E97E75" w:rsidP="008814A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8814AB">
              <w:rPr>
                <w:rFonts w:ascii="Times New Roman" w:hAnsi="Times New Roman" w:cs="Times New Roman"/>
              </w:rPr>
              <w:t>1 678</w:t>
            </w:r>
          </w:p>
        </w:tc>
        <w:tc>
          <w:tcPr>
            <w:tcW w:w="2233" w:type="dxa"/>
          </w:tcPr>
          <w:p w:rsidR="00926BEE" w:rsidRPr="008814AB" w:rsidRDefault="00E97E75" w:rsidP="008814A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8814AB">
              <w:rPr>
                <w:rFonts w:ascii="Times New Roman" w:hAnsi="Times New Roman" w:cs="Times New Roman"/>
              </w:rPr>
              <w:t>312,32</w:t>
            </w:r>
          </w:p>
        </w:tc>
      </w:tr>
      <w:tr w:rsidR="00926BEE" w:rsidRPr="008814AB" w:rsidTr="008814AB">
        <w:trPr>
          <w:trHeight w:val="423"/>
        </w:trPr>
        <w:tc>
          <w:tcPr>
            <w:cnfStyle w:val="001000000000"/>
            <w:tcW w:w="5103" w:type="dxa"/>
          </w:tcPr>
          <w:p w:rsidR="00926BEE" w:rsidRPr="008814AB" w:rsidRDefault="00926BEE" w:rsidP="008814AB">
            <w:pPr>
              <w:rPr>
                <w:rFonts w:ascii="Times New Roman" w:hAnsi="Times New Roman" w:cs="Times New Roman"/>
              </w:rPr>
            </w:pPr>
            <w:r w:rsidRPr="008814A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926BEE" w:rsidRPr="008814AB" w:rsidRDefault="007A5048" w:rsidP="008814AB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8814AB">
              <w:rPr>
                <w:rFonts w:ascii="Times New Roman" w:hAnsi="Times New Roman" w:cs="Times New Roman"/>
                <w:b/>
              </w:rPr>
              <w:t xml:space="preserve">12 </w:t>
            </w:r>
            <w:r w:rsidR="000545E2" w:rsidRPr="008814AB">
              <w:rPr>
                <w:rFonts w:ascii="Times New Roman" w:hAnsi="Times New Roman" w:cs="Times New Roman"/>
                <w:b/>
              </w:rPr>
              <w:t>411</w:t>
            </w:r>
          </w:p>
        </w:tc>
        <w:tc>
          <w:tcPr>
            <w:tcW w:w="2233" w:type="dxa"/>
          </w:tcPr>
          <w:p w:rsidR="00926BEE" w:rsidRPr="008814AB" w:rsidRDefault="000545E2" w:rsidP="008814AB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8814AB">
              <w:rPr>
                <w:rFonts w:ascii="Times New Roman" w:hAnsi="Times New Roman" w:cs="Times New Roman"/>
                <w:b/>
              </w:rPr>
              <w:t>33  964,07</w:t>
            </w:r>
          </w:p>
        </w:tc>
      </w:tr>
      <w:tr w:rsidR="00926BEE" w:rsidRPr="008814AB" w:rsidTr="008814AB">
        <w:trPr>
          <w:cnfStyle w:val="000000100000"/>
          <w:trHeight w:val="568"/>
        </w:trPr>
        <w:tc>
          <w:tcPr>
            <w:cnfStyle w:val="001000000000"/>
            <w:tcW w:w="5103" w:type="dxa"/>
          </w:tcPr>
          <w:p w:rsidR="00926BEE" w:rsidRPr="008814AB" w:rsidRDefault="00926BEE" w:rsidP="008814AB">
            <w:pPr>
              <w:rPr>
                <w:rFonts w:ascii="Times New Roman" w:hAnsi="Times New Roman" w:cs="Times New Roman"/>
                <w:i/>
              </w:rPr>
            </w:pPr>
            <w:r w:rsidRPr="008814AB">
              <w:rPr>
                <w:rFonts w:ascii="Times New Roman" w:hAnsi="Times New Roman" w:cs="Times New Roman"/>
                <w:i/>
              </w:rPr>
              <w:t>в т.ч. по несостоявшимся процедурам закупок</w:t>
            </w:r>
          </w:p>
          <w:p w:rsidR="00926BEE" w:rsidRPr="008814AB" w:rsidRDefault="00926BEE" w:rsidP="008814AB">
            <w:pPr>
              <w:rPr>
                <w:rFonts w:ascii="Times New Roman" w:hAnsi="Times New Roman" w:cs="Times New Roman"/>
                <w:i/>
              </w:rPr>
            </w:pPr>
            <w:r w:rsidRPr="008814AB">
              <w:rPr>
                <w:rFonts w:ascii="Times New Roman" w:hAnsi="Times New Roman" w:cs="Times New Roman"/>
                <w:i/>
              </w:rPr>
              <w:t>(по п.25 ч.1 ст.93 44-ФЗ)</w:t>
            </w:r>
          </w:p>
        </w:tc>
        <w:tc>
          <w:tcPr>
            <w:tcW w:w="1843" w:type="dxa"/>
          </w:tcPr>
          <w:p w:rsidR="00926BEE" w:rsidRPr="008814AB" w:rsidRDefault="005F3D30" w:rsidP="008814AB">
            <w:pPr>
              <w:jc w:val="center"/>
              <w:cnfStyle w:val="000000100000"/>
              <w:rPr>
                <w:rFonts w:ascii="Times New Roman" w:hAnsi="Times New Roman" w:cs="Times New Roman"/>
                <w:i/>
              </w:rPr>
            </w:pPr>
            <w:r w:rsidRPr="008814AB">
              <w:rPr>
                <w:rFonts w:ascii="Times New Roman" w:hAnsi="Times New Roman" w:cs="Times New Roman"/>
                <w:i/>
              </w:rPr>
              <w:t>4 527</w:t>
            </w:r>
          </w:p>
        </w:tc>
        <w:tc>
          <w:tcPr>
            <w:tcW w:w="2233" w:type="dxa"/>
          </w:tcPr>
          <w:p w:rsidR="00926BEE" w:rsidRPr="008814AB" w:rsidRDefault="005F3D30" w:rsidP="008814AB">
            <w:pPr>
              <w:jc w:val="center"/>
              <w:cnfStyle w:val="000000100000"/>
              <w:rPr>
                <w:rFonts w:ascii="Times New Roman" w:hAnsi="Times New Roman" w:cs="Times New Roman"/>
                <w:i/>
              </w:rPr>
            </w:pPr>
            <w:r w:rsidRPr="008814AB">
              <w:rPr>
                <w:rFonts w:ascii="Times New Roman" w:hAnsi="Times New Roman" w:cs="Times New Roman"/>
                <w:i/>
              </w:rPr>
              <w:t>16 579,</w:t>
            </w:r>
            <w:r w:rsidR="000C2EC8" w:rsidRPr="008814AB">
              <w:rPr>
                <w:rFonts w:ascii="Times New Roman" w:hAnsi="Times New Roman" w:cs="Times New Roman"/>
                <w:i/>
              </w:rPr>
              <w:t>03</w:t>
            </w:r>
          </w:p>
        </w:tc>
      </w:tr>
    </w:tbl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2A06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BEE">
        <w:rPr>
          <w:rFonts w:ascii="Times New Roman" w:hAnsi="Times New Roman" w:cs="Times New Roman"/>
          <w:sz w:val="28"/>
          <w:szCs w:val="28"/>
        </w:rPr>
        <w:t>В сравнении с 202</w:t>
      </w:r>
      <w:r w:rsidR="000C2EC8">
        <w:rPr>
          <w:rFonts w:ascii="Times New Roman" w:hAnsi="Times New Roman" w:cs="Times New Roman"/>
          <w:sz w:val="28"/>
          <w:szCs w:val="28"/>
        </w:rPr>
        <w:t>4</w:t>
      </w:r>
      <w:r w:rsidRPr="00926BEE">
        <w:rPr>
          <w:rFonts w:ascii="Times New Roman" w:hAnsi="Times New Roman" w:cs="Times New Roman"/>
          <w:sz w:val="28"/>
          <w:szCs w:val="28"/>
        </w:rPr>
        <w:t xml:space="preserve"> годом на основании данных, полученных из ЕИС, в 202</w:t>
      </w:r>
      <w:r w:rsidR="000C2EC8">
        <w:rPr>
          <w:rFonts w:ascii="Times New Roman" w:hAnsi="Times New Roman" w:cs="Times New Roman"/>
          <w:sz w:val="28"/>
          <w:szCs w:val="28"/>
        </w:rPr>
        <w:t>5</w:t>
      </w:r>
      <w:r w:rsidR="00DD2D91">
        <w:rPr>
          <w:rFonts w:ascii="Times New Roman" w:hAnsi="Times New Roman" w:cs="Times New Roman"/>
          <w:sz w:val="28"/>
          <w:szCs w:val="28"/>
        </w:rPr>
        <w:t xml:space="preserve"> </w:t>
      </w:r>
      <w:r w:rsidRPr="00926BEE">
        <w:rPr>
          <w:rFonts w:ascii="Times New Roman" w:hAnsi="Times New Roman" w:cs="Times New Roman"/>
          <w:sz w:val="28"/>
          <w:szCs w:val="28"/>
        </w:rPr>
        <w:t>году количество заключенных контрактов государственными заказчиками Курской области у</w:t>
      </w:r>
      <w:r w:rsidR="000C2EC8">
        <w:rPr>
          <w:rFonts w:ascii="Times New Roman" w:hAnsi="Times New Roman" w:cs="Times New Roman"/>
          <w:sz w:val="28"/>
          <w:szCs w:val="28"/>
        </w:rPr>
        <w:t>величилось</w:t>
      </w:r>
      <w:r w:rsidRPr="00926BEE">
        <w:rPr>
          <w:rFonts w:ascii="Times New Roman" w:hAnsi="Times New Roman" w:cs="Times New Roman"/>
          <w:sz w:val="28"/>
          <w:szCs w:val="28"/>
        </w:rPr>
        <w:t xml:space="preserve"> </w:t>
      </w:r>
      <w:r w:rsidR="003540C6">
        <w:rPr>
          <w:rFonts w:ascii="Times New Roman" w:hAnsi="Times New Roman" w:cs="Times New Roman"/>
          <w:sz w:val="28"/>
          <w:szCs w:val="28"/>
        </w:rPr>
        <w:t>не</w:t>
      </w:r>
      <w:r w:rsidR="008814AB">
        <w:rPr>
          <w:rFonts w:ascii="Times New Roman" w:hAnsi="Times New Roman" w:cs="Times New Roman"/>
          <w:sz w:val="28"/>
          <w:szCs w:val="28"/>
        </w:rPr>
        <w:t>значительно</w:t>
      </w:r>
      <w:r w:rsidR="003540C6">
        <w:rPr>
          <w:rFonts w:ascii="Times New Roman" w:hAnsi="Times New Roman" w:cs="Times New Roman"/>
          <w:sz w:val="28"/>
          <w:szCs w:val="28"/>
        </w:rPr>
        <w:t>,</w:t>
      </w:r>
      <w:r w:rsidR="008814AB">
        <w:rPr>
          <w:rFonts w:ascii="Times New Roman" w:hAnsi="Times New Roman" w:cs="Times New Roman"/>
          <w:sz w:val="28"/>
          <w:szCs w:val="28"/>
        </w:rPr>
        <w:t xml:space="preserve"> </w:t>
      </w:r>
      <w:r w:rsidRPr="00926BEE">
        <w:rPr>
          <w:rFonts w:ascii="Times New Roman" w:hAnsi="Times New Roman" w:cs="Times New Roman"/>
          <w:sz w:val="28"/>
          <w:szCs w:val="28"/>
        </w:rPr>
        <w:t xml:space="preserve">на </w:t>
      </w:r>
      <w:r w:rsidR="000C2EC8">
        <w:rPr>
          <w:rFonts w:ascii="Times New Roman" w:hAnsi="Times New Roman" w:cs="Times New Roman"/>
          <w:b/>
          <w:sz w:val="28"/>
          <w:szCs w:val="28"/>
        </w:rPr>
        <w:t>21</w:t>
      </w:r>
      <w:r w:rsidRPr="008D792C">
        <w:rPr>
          <w:rFonts w:ascii="Times New Roman" w:hAnsi="Times New Roman" w:cs="Times New Roman"/>
          <w:b/>
          <w:sz w:val="28"/>
          <w:szCs w:val="28"/>
        </w:rPr>
        <w:t xml:space="preserve"> шт.</w:t>
      </w:r>
      <w:r w:rsidRPr="00926BEE">
        <w:rPr>
          <w:rFonts w:ascii="Times New Roman" w:hAnsi="Times New Roman" w:cs="Times New Roman"/>
          <w:sz w:val="28"/>
          <w:szCs w:val="28"/>
        </w:rPr>
        <w:t xml:space="preserve"> </w:t>
      </w:r>
      <w:r w:rsidRPr="008D792C">
        <w:rPr>
          <w:rFonts w:ascii="Times New Roman" w:hAnsi="Times New Roman" w:cs="Times New Roman"/>
          <w:b/>
          <w:sz w:val="28"/>
          <w:szCs w:val="28"/>
        </w:rPr>
        <w:t>(</w:t>
      </w:r>
      <w:r w:rsidR="004675E2">
        <w:rPr>
          <w:rFonts w:ascii="Times New Roman" w:hAnsi="Times New Roman" w:cs="Times New Roman"/>
          <w:b/>
          <w:sz w:val="28"/>
          <w:szCs w:val="28"/>
        </w:rPr>
        <w:t>0,1</w:t>
      </w:r>
      <w:r w:rsidRPr="008D792C">
        <w:rPr>
          <w:rFonts w:ascii="Times New Roman" w:hAnsi="Times New Roman" w:cs="Times New Roman"/>
          <w:b/>
          <w:sz w:val="28"/>
          <w:szCs w:val="28"/>
        </w:rPr>
        <w:t>%)</w:t>
      </w:r>
      <w:r w:rsidR="001F6D9A">
        <w:rPr>
          <w:rFonts w:ascii="Times New Roman" w:hAnsi="Times New Roman" w:cs="Times New Roman"/>
          <w:b/>
          <w:sz w:val="28"/>
          <w:szCs w:val="28"/>
        </w:rPr>
        <w:t>,</w:t>
      </w:r>
      <w:r w:rsidR="000C2E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EC8" w:rsidRPr="000C2EC8">
        <w:rPr>
          <w:rFonts w:ascii="Times New Roman" w:hAnsi="Times New Roman" w:cs="Times New Roman"/>
          <w:sz w:val="28"/>
          <w:szCs w:val="28"/>
        </w:rPr>
        <w:t>при этом</w:t>
      </w:r>
      <w:r w:rsidR="003C66DF" w:rsidRPr="00BA1311">
        <w:rPr>
          <w:rFonts w:ascii="Times New Roman" w:hAnsi="Times New Roman" w:cs="Times New Roman"/>
          <w:sz w:val="28"/>
          <w:szCs w:val="28"/>
        </w:rPr>
        <w:t xml:space="preserve"> </w:t>
      </w:r>
      <w:r w:rsidR="000C2EC8">
        <w:rPr>
          <w:rFonts w:ascii="Times New Roman" w:hAnsi="Times New Roman" w:cs="Times New Roman"/>
          <w:sz w:val="28"/>
          <w:szCs w:val="28"/>
        </w:rPr>
        <w:t xml:space="preserve">суммарный </w:t>
      </w:r>
      <w:r w:rsidR="00617E18">
        <w:rPr>
          <w:rFonts w:ascii="Times New Roman" w:hAnsi="Times New Roman" w:cs="Times New Roman"/>
          <w:sz w:val="28"/>
          <w:szCs w:val="28"/>
        </w:rPr>
        <w:t xml:space="preserve">объем заключенных контрактов </w:t>
      </w:r>
      <w:r w:rsidR="000C2EC8">
        <w:rPr>
          <w:rFonts w:ascii="Times New Roman" w:hAnsi="Times New Roman" w:cs="Times New Roman"/>
          <w:sz w:val="28"/>
          <w:szCs w:val="28"/>
        </w:rPr>
        <w:t>увеличил</w:t>
      </w:r>
      <w:r w:rsidR="004675E2">
        <w:rPr>
          <w:rFonts w:ascii="Times New Roman" w:hAnsi="Times New Roman" w:cs="Times New Roman"/>
          <w:sz w:val="28"/>
          <w:szCs w:val="28"/>
        </w:rPr>
        <w:t>ся</w:t>
      </w:r>
      <w:r w:rsidRPr="00926BEE">
        <w:rPr>
          <w:rFonts w:ascii="Times New Roman" w:hAnsi="Times New Roman" w:cs="Times New Roman"/>
          <w:sz w:val="28"/>
          <w:szCs w:val="28"/>
        </w:rPr>
        <w:t xml:space="preserve"> на </w:t>
      </w:r>
      <w:r w:rsidR="004675E2">
        <w:rPr>
          <w:rFonts w:ascii="Times New Roman" w:hAnsi="Times New Roman" w:cs="Times New Roman"/>
          <w:b/>
          <w:sz w:val="28"/>
          <w:szCs w:val="28"/>
        </w:rPr>
        <w:t>11 818,03</w:t>
      </w:r>
      <w:r w:rsidR="008D792C" w:rsidRPr="008D792C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8D792C">
        <w:rPr>
          <w:rFonts w:ascii="Times New Roman" w:hAnsi="Times New Roman" w:cs="Times New Roman"/>
          <w:sz w:val="28"/>
          <w:szCs w:val="28"/>
        </w:rPr>
        <w:t xml:space="preserve">. </w:t>
      </w:r>
      <w:r w:rsidR="004675E2">
        <w:rPr>
          <w:rFonts w:ascii="Times New Roman" w:hAnsi="Times New Roman" w:cs="Times New Roman"/>
          <w:b/>
          <w:sz w:val="28"/>
          <w:szCs w:val="28"/>
        </w:rPr>
        <w:t>(53,36</w:t>
      </w:r>
      <w:r w:rsidRPr="008D792C">
        <w:rPr>
          <w:rFonts w:ascii="Times New Roman" w:hAnsi="Times New Roman" w:cs="Times New Roman"/>
          <w:b/>
          <w:sz w:val="28"/>
          <w:szCs w:val="28"/>
        </w:rPr>
        <w:t>%).</w:t>
      </w:r>
      <w:r w:rsidR="00962A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4AB" w:rsidRDefault="008814AB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5B1" w:rsidRPr="00E655B1" w:rsidRDefault="00BA1311" w:rsidP="00E65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15924" cy="2277373"/>
            <wp:effectExtent l="19050" t="0" r="27676" b="8627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655B1" w:rsidRPr="00370C3F" w:rsidRDefault="008B5B81" w:rsidP="00E655B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Pr="00401B98">
        <w:rPr>
          <w:rFonts w:ascii="Times New Roman" w:hAnsi="Times New Roman" w:cs="Times New Roman"/>
          <w:sz w:val="28"/>
          <w:szCs w:val="28"/>
        </w:rPr>
        <w:t xml:space="preserve">кономия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617E18" w:rsidRPr="00401B98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8B5B81">
        <w:rPr>
          <w:rFonts w:ascii="Times New Roman" w:hAnsi="Times New Roman" w:cs="Times New Roman"/>
          <w:b/>
          <w:sz w:val="28"/>
          <w:szCs w:val="28"/>
        </w:rPr>
        <w:t>ез учета муниципального уровня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617E18" w:rsidRPr="00401B98">
        <w:rPr>
          <w:rFonts w:ascii="Times New Roman" w:hAnsi="Times New Roman" w:cs="Times New Roman"/>
          <w:sz w:val="28"/>
          <w:szCs w:val="28"/>
        </w:rPr>
        <w:t>, полученная</w:t>
      </w:r>
      <w:r w:rsidR="00617E18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</w:t>
      </w:r>
      <w:r w:rsidR="00617E18" w:rsidRPr="00401B98">
        <w:rPr>
          <w:rFonts w:ascii="Times New Roman" w:hAnsi="Times New Roman" w:cs="Times New Roman"/>
          <w:sz w:val="28"/>
          <w:szCs w:val="28"/>
        </w:rPr>
        <w:t xml:space="preserve"> </w:t>
      </w:r>
      <w:r w:rsidR="00617E18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617E18" w:rsidRPr="00401B98">
        <w:rPr>
          <w:rFonts w:ascii="Times New Roman" w:hAnsi="Times New Roman" w:cs="Times New Roman"/>
          <w:sz w:val="28"/>
          <w:szCs w:val="28"/>
        </w:rPr>
        <w:t xml:space="preserve">по результатам заключения </w:t>
      </w:r>
      <w:r w:rsidR="00617E1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617E18" w:rsidRPr="00401B98">
        <w:rPr>
          <w:rFonts w:ascii="Times New Roman" w:hAnsi="Times New Roman" w:cs="Times New Roman"/>
          <w:sz w:val="28"/>
          <w:szCs w:val="28"/>
        </w:rPr>
        <w:t>контрактов в 202</w:t>
      </w:r>
      <w:r w:rsidR="008814AB">
        <w:rPr>
          <w:rFonts w:ascii="Times New Roman" w:hAnsi="Times New Roman" w:cs="Times New Roman"/>
          <w:sz w:val="28"/>
          <w:szCs w:val="28"/>
        </w:rPr>
        <w:t>5</w:t>
      </w:r>
      <w:r w:rsidR="00617E18" w:rsidRPr="00401B98">
        <w:rPr>
          <w:rFonts w:ascii="Times New Roman" w:hAnsi="Times New Roman" w:cs="Times New Roman"/>
          <w:sz w:val="28"/>
          <w:szCs w:val="28"/>
        </w:rPr>
        <w:t xml:space="preserve"> году</w:t>
      </w:r>
      <w:r w:rsidR="00617E18">
        <w:rPr>
          <w:rFonts w:ascii="Times New Roman" w:hAnsi="Times New Roman" w:cs="Times New Roman"/>
          <w:sz w:val="28"/>
          <w:szCs w:val="28"/>
        </w:rPr>
        <w:t>,</w:t>
      </w:r>
      <w:r w:rsidR="00617E18" w:rsidRPr="00401B98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8814AB">
        <w:rPr>
          <w:rFonts w:ascii="Times New Roman" w:hAnsi="Times New Roman" w:cs="Times New Roman"/>
          <w:b/>
          <w:sz w:val="28"/>
          <w:szCs w:val="28"/>
        </w:rPr>
        <w:t>2 166,53</w:t>
      </w:r>
      <w:r w:rsidR="00617E18" w:rsidRPr="00542D76">
        <w:rPr>
          <w:rFonts w:ascii="Times New Roman" w:hAnsi="Times New Roman" w:cs="Times New Roman"/>
          <w:b/>
          <w:sz w:val="28"/>
          <w:szCs w:val="28"/>
        </w:rPr>
        <w:t xml:space="preserve"> млн. руб.,</w:t>
      </w:r>
      <w:r w:rsidR="00617E18" w:rsidRPr="00401B98">
        <w:rPr>
          <w:rFonts w:ascii="Times New Roman" w:hAnsi="Times New Roman" w:cs="Times New Roman"/>
          <w:sz w:val="28"/>
          <w:szCs w:val="28"/>
        </w:rPr>
        <w:t xml:space="preserve"> в том числе экономия, полученная при использовании модуля «Малые закупки</w:t>
      </w:r>
      <w:r w:rsidR="00617E18" w:rsidRPr="00916FD7">
        <w:rPr>
          <w:rFonts w:ascii="Times New Roman" w:hAnsi="Times New Roman" w:cs="Times New Roman"/>
          <w:b/>
          <w:sz w:val="28"/>
          <w:szCs w:val="28"/>
        </w:rPr>
        <w:t>»</w:t>
      </w:r>
      <w:r w:rsidR="00E65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5B1" w:rsidRPr="008D792C">
        <w:rPr>
          <w:rFonts w:ascii="Times New Roman" w:hAnsi="Times New Roman" w:cs="Times New Roman"/>
          <w:sz w:val="28"/>
          <w:szCs w:val="28"/>
        </w:rPr>
        <w:t xml:space="preserve"> в РИС «Торги Курской области» (в соответствии с пунктами 4, 5 части 1 с</w:t>
      </w:r>
      <w:r w:rsidR="00E655B1">
        <w:rPr>
          <w:rFonts w:ascii="Times New Roman" w:hAnsi="Times New Roman" w:cs="Times New Roman"/>
          <w:sz w:val="28"/>
          <w:szCs w:val="28"/>
        </w:rPr>
        <w:t>татьи 93 Федерального закона  №</w:t>
      </w:r>
      <w:r w:rsidR="00E655B1" w:rsidRPr="008D792C">
        <w:rPr>
          <w:rFonts w:ascii="Times New Roman" w:hAnsi="Times New Roman" w:cs="Times New Roman"/>
          <w:sz w:val="28"/>
          <w:szCs w:val="28"/>
        </w:rPr>
        <w:t>44-ФЗ)</w:t>
      </w:r>
      <w:r w:rsidR="000863C7">
        <w:rPr>
          <w:rFonts w:ascii="Times New Roman" w:hAnsi="Times New Roman" w:cs="Times New Roman"/>
          <w:sz w:val="28"/>
          <w:szCs w:val="28"/>
        </w:rPr>
        <w:t>,</w:t>
      </w:r>
      <w:r w:rsidR="00E655B1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="00617E18" w:rsidRPr="00916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C3F">
        <w:rPr>
          <w:rFonts w:ascii="Times New Roman" w:hAnsi="Times New Roman" w:cs="Times New Roman"/>
          <w:b/>
          <w:sz w:val="28"/>
          <w:szCs w:val="28"/>
        </w:rPr>
        <w:t>53,</w:t>
      </w:r>
      <w:r w:rsidR="008814AB">
        <w:rPr>
          <w:rFonts w:ascii="Times New Roman" w:hAnsi="Times New Roman" w:cs="Times New Roman"/>
          <w:b/>
          <w:sz w:val="28"/>
          <w:szCs w:val="28"/>
        </w:rPr>
        <w:t>95</w:t>
      </w:r>
      <w:r w:rsidR="00370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E18" w:rsidRPr="00916FD7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617E18" w:rsidRPr="00401B98">
        <w:rPr>
          <w:rFonts w:ascii="Times New Roman" w:hAnsi="Times New Roman" w:cs="Times New Roman"/>
          <w:sz w:val="28"/>
          <w:szCs w:val="28"/>
        </w:rPr>
        <w:t xml:space="preserve"> </w:t>
      </w:r>
      <w:r w:rsidR="00617E18">
        <w:rPr>
          <w:rFonts w:ascii="Times New Roman" w:hAnsi="Times New Roman" w:cs="Times New Roman"/>
          <w:sz w:val="28"/>
          <w:szCs w:val="28"/>
        </w:rPr>
        <w:t>В сравнении с 202</w:t>
      </w:r>
      <w:r w:rsidR="008814AB">
        <w:rPr>
          <w:rFonts w:ascii="Times New Roman" w:hAnsi="Times New Roman" w:cs="Times New Roman"/>
          <w:sz w:val="28"/>
          <w:szCs w:val="28"/>
        </w:rPr>
        <w:t>4</w:t>
      </w:r>
      <w:r w:rsidR="00617E18">
        <w:rPr>
          <w:rFonts w:ascii="Times New Roman" w:hAnsi="Times New Roman" w:cs="Times New Roman"/>
          <w:sz w:val="28"/>
          <w:szCs w:val="28"/>
        </w:rPr>
        <w:t xml:space="preserve"> годом экономия </w:t>
      </w:r>
      <w:r w:rsidR="00370C3F">
        <w:rPr>
          <w:rFonts w:ascii="Times New Roman" w:hAnsi="Times New Roman" w:cs="Times New Roman"/>
          <w:b/>
          <w:sz w:val="28"/>
          <w:szCs w:val="28"/>
        </w:rPr>
        <w:t>у</w:t>
      </w:r>
      <w:r w:rsidR="008814AB">
        <w:rPr>
          <w:rFonts w:ascii="Times New Roman" w:hAnsi="Times New Roman" w:cs="Times New Roman"/>
          <w:b/>
          <w:sz w:val="28"/>
          <w:szCs w:val="28"/>
        </w:rPr>
        <w:t>величилась</w:t>
      </w:r>
      <w:r w:rsidR="00370C3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B121B">
        <w:rPr>
          <w:rFonts w:ascii="Times New Roman" w:hAnsi="Times New Roman" w:cs="Times New Roman"/>
          <w:b/>
          <w:sz w:val="28"/>
          <w:szCs w:val="28"/>
        </w:rPr>
        <w:t>1 215,04</w:t>
      </w:r>
      <w:r w:rsidR="00617E18" w:rsidRPr="00542D76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E655B1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E655B1">
        <w:rPr>
          <w:rFonts w:ascii="Times New Roman" w:hAnsi="Times New Roman" w:cs="Times New Roman"/>
          <w:sz w:val="28"/>
          <w:szCs w:val="28"/>
        </w:rPr>
        <w:t>при этом экономия</w:t>
      </w:r>
      <w:r w:rsidR="00E655B1" w:rsidRPr="00401B98">
        <w:rPr>
          <w:rFonts w:ascii="Times New Roman" w:hAnsi="Times New Roman" w:cs="Times New Roman"/>
          <w:sz w:val="28"/>
          <w:szCs w:val="28"/>
        </w:rPr>
        <w:t>, полученная при использовании модуля «Малые закупки</w:t>
      </w:r>
      <w:r w:rsidR="00E655B1" w:rsidRPr="00916FD7">
        <w:rPr>
          <w:rFonts w:ascii="Times New Roman" w:hAnsi="Times New Roman" w:cs="Times New Roman"/>
          <w:b/>
          <w:sz w:val="28"/>
          <w:szCs w:val="28"/>
        </w:rPr>
        <w:t>»</w:t>
      </w:r>
      <w:r w:rsidR="000863C7">
        <w:rPr>
          <w:rFonts w:ascii="Times New Roman" w:hAnsi="Times New Roman" w:cs="Times New Roman"/>
          <w:b/>
          <w:sz w:val="28"/>
          <w:szCs w:val="28"/>
        </w:rPr>
        <w:t>,</w:t>
      </w:r>
      <w:r w:rsidR="00E655B1">
        <w:rPr>
          <w:rFonts w:ascii="Times New Roman" w:hAnsi="Times New Roman" w:cs="Times New Roman"/>
          <w:b/>
          <w:sz w:val="28"/>
          <w:szCs w:val="28"/>
        </w:rPr>
        <w:t xml:space="preserve"> осталась на том же уровне </w:t>
      </w:r>
      <w:r w:rsidR="00E655B1" w:rsidRPr="00370C3F">
        <w:rPr>
          <w:rFonts w:ascii="Times New Roman" w:hAnsi="Times New Roman" w:cs="Times New Roman"/>
          <w:sz w:val="28"/>
          <w:szCs w:val="28"/>
        </w:rPr>
        <w:t>(в 202</w:t>
      </w:r>
      <w:r w:rsidR="00E655B1">
        <w:rPr>
          <w:rFonts w:ascii="Times New Roman" w:hAnsi="Times New Roman" w:cs="Times New Roman"/>
          <w:sz w:val="28"/>
          <w:szCs w:val="28"/>
        </w:rPr>
        <w:t>4</w:t>
      </w:r>
      <w:r w:rsidR="000863C7">
        <w:rPr>
          <w:rFonts w:ascii="Times New Roman" w:hAnsi="Times New Roman" w:cs="Times New Roman"/>
          <w:sz w:val="28"/>
          <w:szCs w:val="28"/>
        </w:rPr>
        <w:t xml:space="preserve"> </w:t>
      </w:r>
      <w:r w:rsidR="00E655B1" w:rsidRPr="00370C3F">
        <w:rPr>
          <w:rFonts w:ascii="Times New Roman" w:hAnsi="Times New Roman" w:cs="Times New Roman"/>
          <w:sz w:val="28"/>
          <w:szCs w:val="28"/>
        </w:rPr>
        <w:t xml:space="preserve">г. данный показатель составлял </w:t>
      </w:r>
      <w:r w:rsidR="00E655B1">
        <w:rPr>
          <w:rFonts w:ascii="Times New Roman" w:hAnsi="Times New Roman" w:cs="Times New Roman"/>
          <w:b/>
          <w:sz w:val="28"/>
          <w:szCs w:val="28"/>
        </w:rPr>
        <w:t xml:space="preserve">53,44 </w:t>
      </w:r>
      <w:r w:rsidR="00E655B1" w:rsidRPr="00916FD7">
        <w:rPr>
          <w:rFonts w:ascii="Times New Roman" w:hAnsi="Times New Roman" w:cs="Times New Roman"/>
          <w:b/>
          <w:sz w:val="28"/>
          <w:szCs w:val="28"/>
        </w:rPr>
        <w:t>млн. руб</w:t>
      </w:r>
      <w:r w:rsidR="00E655B1" w:rsidRPr="00370C3F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617E18" w:rsidRDefault="00617E18" w:rsidP="00E655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4EC" w:rsidRDefault="00B474EC" w:rsidP="001F6D9A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FF40A7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> 4</w:t>
      </w:r>
      <w:r w:rsidRPr="00FF40A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812924" w:rsidRDefault="00812924" w:rsidP="001F6D9A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2170</wp:posOffset>
            </wp:positionH>
            <wp:positionV relativeFrom="paragraph">
              <wp:posOffset>80734</wp:posOffset>
            </wp:positionV>
            <wp:extent cx="5796959" cy="1913860"/>
            <wp:effectExtent l="19050" t="0" r="13291" b="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812924" w:rsidRDefault="00812924" w:rsidP="001F6D9A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814AB" w:rsidRPr="002362C1" w:rsidRDefault="008814AB" w:rsidP="008814A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является способ определения поставщиков (подрядчиков, исполнителей) путем проведения </w:t>
      </w:r>
      <w:r w:rsidRPr="002D4F10">
        <w:rPr>
          <w:rFonts w:ascii="Times New Roman" w:hAnsi="Times New Roman" w:cs="Times New Roman"/>
          <w:sz w:val="28"/>
          <w:szCs w:val="28"/>
          <w:u w:val="single"/>
        </w:rPr>
        <w:t>электронных аукционов</w:t>
      </w:r>
      <w:r w:rsidRPr="002362C1">
        <w:rPr>
          <w:rFonts w:ascii="Times New Roman" w:hAnsi="Times New Roman" w:cs="Times New Roman"/>
          <w:sz w:val="28"/>
          <w:szCs w:val="28"/>
        </w:rPr>
        <w:t xml:space="preserve">. По результатам проведения закупок указанным способом экономия составила </w:t>
      </w:r>
      <w:r w:rsidR="00FE6AB0">
        <w:rPr>
          <w:rFonts w:ascii="Times New Roman" w:hAnsi="Times New Roman" w:cs="Times New Roman"/>
          <w:b/>
          <w:sz w:val="28"/>
          <w:szCs w:val="28"/>
        </w:rPr>
        <w:t>1 669,62</w:t>
      </w:r>
      <w:r w:rsidRPr="002362C1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Pr="002362C1">
        <w:rPr>
          <w:rFonts w:ascii="Times New Roman" w:hAnsi="Times New Roman" w:cs="Times New Roman"/>
          <w:sz w:val="28"/>
          <w:szCs w:val="28"/>
        </w:rPr>
        <w:t xml:space="preserve">. или </w:t>
      </w:r>
      <w:r w:rsidR="00FE6AB0">
        <w:rPr>
          <w:rFonts w:ascii="Times New Roman" w:hAnsi="Times New Roman" w:cs="Times New Roman"/>
          <w:b/>
          <w:sz w:val="28"/>
          <w:szCs w:val="28"/>
        </w:rPr>
        <w:t>77,07</w:t>
      </w:r>
      <w:r w:rsidRPr="002362C1">
        <w:rPr>
          <w:rFonts w:ascii="Times New Roman" w:hAnsi="Times New Roman" w:cs="Times New Roman"/>
          <w:b/>
          <w:sz w:val="28"/>
          <w:szCs w:val="28"/>
        </w:rPr>
        <w:t>%</w:t>
      </w:r>
      <w:r w:rsidRPr="002362C1">
        <w:rPr>
          <w:rFonts w:ascii="Times New Roman" w:hAnsi="Times New Roman" w:cs="Times New Roman"/>
          <w:sz w:val="28"/>
          <w:szCs w:val="28"/>
        </w:rPr>
        <w:t xml:space="preserve"> от общей сложившейся экономии бюджетных средств.</w:t>
      </w:r>
    </w:p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710"/>
        <w:gridCol w:w="2483"/>
        <w:gridCol w:w="2094"/>
      </w:tblGrid>
      <w:tr w:rsidR="00926BEE" w:rsidRPr="00007550" w:rsidTr="009B1B92">
        <w:trPr>
          <w:tblHeader/>
        </w:trPr>
        <w:tc>
          <w:tcPr>
            <w:tcW w:w="4710" w:type="dxa"/>
            <w:vMerge w:val="restart"/>
            <w:shd w:val="clear" w:color="auto" w:fill="92D050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577" w:type="dxa"/>
            <w:gridSpan w:val="2"/>
            <w:shd w:val="clear" w:color="auto" w:fill="92D050"/>
            <w:vAlign w:val="center"/>
          </w:tcPr>
          <w:p w:rsidR="00926BEE" w:rsidRPr="00007550" w:rsidRDefault="00926BEE" w:rsidP="00E00A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00A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02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926BEE" w:rsidRPr="00007550" w:rsidTr="009B1B92">
        <w:trPr>
          <w:tblHeader/>
        </w:trPr>
        <w:tc>
          <w:tcPr>
            <w:tcW w:w="4710" w:type="dxa"/>
            <w:vMerge/>
            <w:shd w:val="clear" w:color="auto" w:fill="92D050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92D050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экономии, млн. руб.</w:t>
            </w:r>
          </w:p>
        </w:tc>
        <w:tc>
          <w:tcPr>
            <w:tcW w:w="2094" w:type="dxa"/>
            <w:shd w:val="clear" w:color="auto" w:fill="92D050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926BEE" w:rsidRPr="00007550" w:rsidTr="00B474EC">
        <w:trPr>
          <w:trHeight w:val="421"/>
        </w:trPr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483" w:type="dxa"/>
            <w:vAlign w:val="center"/>
          </w:tcPr>
          <w:p w:rsidR="00926BEE" w:rsidRPr="00B7732F" w:rsidRDefault="00124F42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1 669,62</w:t>
            </w:r>
          </w:p>
        </w:tc>
        <w:tc>
          <w:tcPr>
            <w:tcW w:w="2094" w:type="dxa"/>
            <w:vAlign w:val="center"/>
          </w:tcPr>
          <w:p w:rsidR="00926BEE" w:rsidRPr="00007550" w:rsidRDefault="00FE6AB0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77,07</w:t>
            </w:r>
          </w:p>
        </w:tc>
      </w:tr>
      <w:tr w:rsidR="00926BEE" w:rsidRPr="00007550" w:rsidTr="00B474EC">
        <w:trPr>
          <w:trHeight w:val="427"/>
        </w:trPr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483" w:type="dxa"/>
            <w:vAlign w:val="center"/>
          </w:tcPr>
          <w:p w:rsidR="00926BEE" w:rsidRPr="00007550" w:rsidRDefault="00124F42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281,30</w:t>
            </w:r>
          </w:p>
        </w:tc>
        <w:tc>
          <w:tcPr>
            <w:tcW w:w="2094" w:type="dxa"/>
            <w:vAlign w:val="center"/>
          </w:tcPr>
          <w:p w:rsidR="00926BEE" w:rsidRPr="00007550" w:rsidRDefault="00FE6AB0" w:rsidP="00B773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12,98</w:t>
            </w:r>
          </w:p>
        </w:tc>
      </w:tr>
      <w:tr w:rsidR="00926BEE" w:rsidRPr="00007550" w:rsidTr="00B474EC">
        <w:trPr>
          <w:trHeight w:val="485"/>
        </w:trPr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483" w:type="dxa"/>
            <w:vAlign w:val="center"/>
          </w:tcPr>
          <w:p w:rsidR="00926BEE" w:rsidRPr="00007550" w:rsidRDefault="00124F42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146,04</w:t>
            </w:r>
          </w:p>
        </w:tc>
        <w:tc>
          <w:tcPr>
            <w:tcW w:w="2094" w:type="dxa"/>
            <w:vAlign w:val="center"/>
          </w:tcPr>
          <w:p w:rsidR="00926BEE" w:rsidRPr="00007550" w:rsidRDefault="00FE6AB0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6,74</w:t>
            </w:r>
          </w:p>
        </w:tc>
      </w:tr>
      <w:tr w:rsidR="00926BEE" w:rsidRPr="00007550" w:rsidTr="00B474EC">
        <w:trPr>
          <w:trHeight w:val="974"/>
        </w:trPr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Закупк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единственного поставщика</w:t>
            </w:r>
            <w:r w:rsidR="007322AA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программного 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модуля «Малые закупки»</w:t>
            </w:r>
          </w:p>
        </w:tc>
        <w:tc>
          <w:tcPr>
            <w:tcW w:w="2483" w:type="dxa"/>
            <w:vAlign w:val="center"/>
          </w:tcPr>
          <w:p w:rsidR="00926BEE" w:rsidRPr="00007550" w:rsidRDefault="00124F42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69,5</w:t>
            </w:r>
            <w:r w:rsidR="00FE6A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4" w:type="dxa"/>
            <w:vAlign w:val="center"/>
          </w:tcPr>
          <w:p w:rsidR="00926BEE" w:rsidRPr="00007550" w:rsidRDefault="00FE6AB0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3,21</w:t>
            </w:r>
          </w:p>
        </w:tc>
      </w:tr>
      <w:tr w:rsidR="00926BEE" w:rsidRPr="00007550" w:rsidTr="00B474EC"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83" w:type="dxa"/>
            <w:vAlign w:val="center"/>
          </w:tcPr>
          <w:p w:rsidR="00926BEE" w:rsidRPr="00007550" w:rsidRDefault="00FE6AB0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2 166,53</w:t>
            </w:r>
          </w:p>
        </w:tc>
        <w:tc>
          <w:tcPr>
            <w:tcW w:w="2094" w:type="dxa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814AB" w:rsidRDefault="008814AB" w:rsidP="001F6D9A">
      <w:pPr>
        <w:tabs>
          <w:tab w:val="left" w:pos="993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26BEE" w:rsidRPr="002362C1" w:rsidRDefault="00926BEE" w:rsidP="001F6D9A">
      <w:pPr>
        <w:tabs>
          <w:tab w:val="left" w:pos="993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362C1">
        <w:rPr>
          <w:rFonts w:ascii="Times New Roman" w:hAnsi="Times New Roman"/>
          <w:b/>
          <w:sz w:val="28"/>
          <w:szCs w:val="28"/>
        </w:rPr>
        <w:t>РАЗДЕЛ 3. ОЦЕНКА  ЭФФЕКТИВНОСТИ  ЗАКУПОК ДЛЯ ОБЕСПЕЧЕНИЯ ГОСУДАРСТВЕННЫХ НУЖД КУРСКОЙ ОБЛАСТИ</w:t>
      </w:r>
    </w:p>
    <w:p w:rsidR="00926BEE" w:rsidRPr="002362C1" w:rsidRDefault="00926BEE" w:rsidP="001F6D9A">
      <w:pPr>
        <w:tabs>
          <w:tab w:val="left" w:pos="993"/>
        </w:tabs>
        <w:autoSpaceDE w:val="0"/>
        <w:autoSpaceDN w:val="0"/>
        <w:adjustRightInd w:val="0"/>
        <w:spacing w:after="0"/>
        <w:ind w:left="142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B5B81" w:rsidRDefault="008B5B81" w:rsidP="00E655B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82F52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со статьей 6 Закона № 44-ФЗ контрактная система в сфере закупок основывается на таких принципах, как обеспечение конкуренции, результативность и эффективность осуществления закупок.</w:t>
      </w:r>
    </w:p>
    <w:p w:rsidR="008B5B81" w:rsidRDefault="00926BEE" w:rsidP="00E655B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362C1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является  </w:t>
      </w:r>
      <w:r w:rsidRPr="002362C1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осуществленных конкурентными способами</w:t>
      </w:r>
      <w:r w:rsidRPr="002362C1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525BE0" w:rsidRDefault="00525BE0" w:rsidP="00E655B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Данный показатель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представляет собой процентное соотношение суммы</w:t>
      </w:r>
      <w:r w:rsidRPr="00082F52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актов, заключенных по результатам конкурентных процедур, к общей</w:t>
      </w:r>
      <w:r w:rsidRPr="00082F52">
        <w:rPr>
          <w:rFonts w:ascii="Times New Roman" w:eastAsiaTheme="minorHAnsi" w:hAnsi="Times New Roman"/>
          <w:sz w:val="28"/>
          <w:szCs w:val="28"/>
          <w:lang w:eastAsia="en-US"/>
        </w:rPr>
        <w:t xml:space="preserve"> сумм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82F52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контрактов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и рассчитывается по следующей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формул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525BE0" w:rsidRPr="009508D4" w:rsidRDefault="00525BE0" w:rsidP="00E655B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П1/(П1+П2)*100, где</w:t>
      </w:r>
    </w:p>
    <w:p w:rsidR="00525BE0" w:rsidRPr="009508D4" w:rsidRDefault="00525BE0" w:rsidP="00E655B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П1  –  сумма  цен  контрактов,  заключенных  в отчетном периоде по результатам конкурентных процедур, руб.;</w:t>
      </w:r>
    </w:p>
    <w:p w:rsidR="00525BE0" w:rsidRPr="009508D4" w:rsidRDefault="00525BE0" w:rsidP="00E655B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П2 –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сумма цен контрактов, заключенных в отчетном периоде с единственным поставщиком (подрядчиком</w:t>
      </w:r>
      <w:r w:rsidR="000863C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исполнителем), руб.</w:t>
      </w:r>
    </w:p>
    <w:p w:rsidR="00926BEE" w:rsidRPr="002362C1" w:rsidRDefault="00926BEE" w:rsidP="00E655B1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2362C1">
        <w:rPr>
          <w:rFonts w:ascii="Times New Roman" w:hAnsi="Times New Roman"/>
          <w:sz w:val="28"/>
          <w:szCs w:val="28"/>
        </w:rPr>
        <w:tab/>
      </w:r>
      <w:r w:rsidR="00525BE0">
        <w:rPr>
          <w:rFonts w:ascii="Times New Roman" w:hAnsi="Times New Roman"/>
          <w:sz w:val="28"/>
          <w:szCs w:val="28"/>
        </w:rPr>
        <w:t>Таким образом</w:t>
      </w:r>
      <w:r w:rsidR="00525BE0" w:rsidRPr="00525BE0">
        <w:rPr>
          <w:rFonts w:ascii="Times New Roman" w:hAnsi="Times New Roman"/>
          <w:sz w:val="28"/>
          <w:szCs w:val="28"/>
        </w:rPr>
        <w:t>, по итогам 202</w:t>
      </w:r>
      <w:r w:rsidR="00E655B1">
        <w:rPr>
          <w:rFonts w:ascii="Times New Roman" w:hAnsi="Times New Roman"/>
          <w:sz w:val="28"/>
          <w:szCs w:val="28"/>
        </w:rPr>
        <w:t>5</w:t>
      </w:r>
      <w:r w:rsidR="00525BE0" w:rsidRPr="00525BE0">
        <w:rPr>
          <w:rFonts w:ascii="Times New Roman" w:hAnsi="Times New Roman"/>
          <w:sz w:val="28"/>
          <w:szCs w:val="28"/>
        </w:rPr>
        <w:t xml:space="preserve"> года</w:t>
      </w:r>
      <w:r w:rsidR="00525BE0">
        <w:rPr>
          <w:rFonts w:ascii="Times New Roman" w:hAnsi="Times New Roman"/>
          <w:sz w:val="28"/>
          <w:szCs w:val="28"/>
        </w:rPr>
        <w:t xml:space="preserve"> д</w:t>
      </w:r>
      <w:r w:rsidRPr="002362C1">
        <w:rPr>
          <w:rFonts w:ascii="Times New Roman" w:hAnsi="Times New Roman"/>
          <w:sz w:val="28"/>
          <w:szCs w:val="28"/>
        </w:rPr>
        <w:t xml:space="preserve">оля </w:t>
      </w:r>
      <w:r w:rsidR="00525BE0">
        <w:rPr>
          <w:rFonts w:ascii="Times New Roman" w:hAnsi="Times New Roman"/>
          <w:sz w:val="28"/>
          <w:szCs w:val="28"/>
        </w:rPr>
        <w:t>конкурентных закупок</w:t>
      </w:r>
      <w:r w:rsidR="00E655B1">
        <w:rPr>
          <w:rFonts w:ascii="Times New Roman" w:hAnsi="Times New Roman"/>
          <w:sz w:val="28"/>
          <w:szCs w:val="28"/>
        </w:rPr>
        <w:t xml:space="preserve"> в суммарном объеме</w:t>
      </w:r>
      <w:r w:rsidR="00525BE0">
        <w:rPr>
          <w:rFonts w:ascii="Times New Roman" w:hAnsi="Times New Roman"/>
          <w:sz w:val="28"/>
          <w:szCs w:val="28"/>
        </w:rPr>
        <w:t xml:space="preserve">, проведенных государственными заказчиками Курской области, </w:t>
      </w:r>
      <w:r w:rsidRPr="002362C1">
        <w:rPr>
          <w:rFonts w:ascii="Times New Roman" w:hAnsi="Times New Roman"/>
          <w:sz w:val="28"/>
          <w:szCs w:val="28"/>
        </w:rPr>
        <w:t xml:space="preserve"> составила </w:t>
      </w:r>
      <w:r w:rsidR="001561EF">
        <w:rPr>
          <w:rFonts w:ascii="Times New Roman" w:hAnsi="Times New Roman"/>
          <w:b/>
          <w:sz w:val="28"/>
          <w:szCs w:val="28"/>
        </w:rPr>
        <w:t>90,1</w:t>
      </w:r>
      <w:r w:rsidRPr="002362C1">
        <w:rPr>
          <w:rFonts w:ascii="Times New Roman" w:hAnsi="Times New Roman"/>
          <w:b/>
          <w:sz w:val="28"/>
          <w:szCs w:val="28"/>
        </w:rPr>
        <w:t>%.</w:t>
      </w:r>
      <w:r w:rsidRPr="002362C1">
        <w:rPr>
          <w:rFonts w:ascii="Times New Roman" w:hAnsi="Times New Roman"/>
          <w:sz w:val="28"/>
          <w:szCs w:val="28"/>
        </w:rPr>
        <w:t xml:space="preserve"> </w:t>
      </w:r>
    </w:p>
    <w:p w:rsidR="00AE7626" w:rsidRDefault="00525BE0" w:rsidP="00E655B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25BE0">
        <w:rPr>
          <w:rFonts w:ascii="Times New Roman" w:eastAsiaTheme="minorHAnsi" w:hAnsi="Times New Roman" w:cstheme="minorBidi"/>
          <w:sz w:val="28"/>
          <w:szCs w:val="28"/>
          <w:lang w:eastAsia="en-US"/>
        </w:rPr>
        <w:t>Благодаря активному применению конкурентных способов система государственных закупок региона продем</w:t>
      </w:r>
      <w:r w:rsidR="00AE762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онстрировала стабильную работу </w:t>
      </w:r>
      <w:r w:rsidR="00AE7626" w:rsidRPr="00AE7626">
        <w:rPr>
          <w:rFonts w:ascii="Times New Roman" w:hAnsi="Times New Roman"/>
          <w:sz w:val="28"/>
          <w:szCs w:val="28"/>
        </w:rPr>
        <w:t>и соответствие основным принципам Федерального закона № 44-ФЗ.</w:t>
      </w:r>
    </w:p>
    <w:p w:rsidR="00D75F66" w:rsidRDefault="00525BE0" w:rsidP="00E655B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25BE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Это позволило обеспечить оптимальный уровень конкуренции, сократить начальные максимальные цены контрактов, сэкономить бюджетные средства и повысить прозрачность закупочной деятельности.</w:t>
      </w:r>
      <w:r w:rsidR="00AE7626" w:rsidRPr="00AE7626">
        <w:rPr>
          <w:rFonts w:ascii="Times New Roman" w:hAnsi="Times New Roman"/>
          <w:sz w:val="28"/>
          <w:szCs w:val="28"/>
        </w:rPr>
        <w:t xml:space="preserve"> </w:t>
      </w:r>
    </w:p>
    <w:p w:rsidR="00D75F66" w:rsidRDefault="00D75F66" w:rsidP="00D75F66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95B68">
        <w:rPr>
          <w:rFonts w:ascii="Times New Roman" w:hAnsi="Times New Roman"/>
          <w:sz w:val="28"/>
          <w:szCs w:val="28"/>
        </w:rPr>
        <w:t xml:space="preserve">месте с тем, </w:t>
      </w:r>
      <w:r>
        <w:rPr>
          <w:rFonts w:ascii="Times New Roman" w:hAnsi="Times New Roman"/>
          <w:sz w:val="28"/>
          <w:szCs w:val="28"/>
        </w:rPr>
        <w:t>с</w:t>
      </w:r>
      <w:r w:rsidRPr="00D75F66">
        <w:rPr>
          <w:rFonts w:ascii="Times New Roman" w:hAnsi="Times New Roman"/>
          <w:sz w:val="28"/>
          <w:szCs w:val="28"/>
        </w:rPr>
        <w:t>охраняется актуальная проблема высокого уровня несостоявшихся процедур, которая обусловлена низким уровнем конкуренции и недостаточной активностью заинтересованных сторон.</w:t>
      </w:r>
    </w:p>
    <w:p w:rsidR="00D75F66" w:rsidRDefault="00AE7626" w:rsidP="00D75F66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E7626">
        <w:rPr>
          <w:rFonts w:ascii="Times New Roman" w:hAnsi="Times New Roman"/>
          <w:sz w:val="28"/>
          <w:szCs w:val="28"/>
        </w:rPr>
        <w:t xml:space="preserve">Для повышения результативности контрактной системы в регионе </w:t>
      </w:r>
      <w:r w:rsidR="00C95B68" w:rsidRPr="002362C1">
        <w:rPr>
          <w:rFonts w:ascii="Times New Roman" w:hAnsi="Times New Roman"/>
          <w:sz w:val="28"/>
          <w:szCs w:val="28"/>
        </w:rPr>
        <w:t xml:space="preserve">целесообразно проведение </w:t>
      </w:r>
      <w:r w:rsidR="00FA4E2E" w:rsidRPr="002362C1">
        <w:rPr>
          <w:rFonts w:ascii="Times New Roman" w:hAnsi="Times New Roman"/>
          <w:sz w:val="28"/>
          <w:szCs w:val="28"/>
        </w:rPr>
        <w:t>мероприятий</w:t>
      </w:r>
      <w:r w:rsidR="00FA4E2E">
        <w:rPr>
          <w:rFonts w:ascii="Times New Roman" w:hAnsi="Times New Roman"/>
          <w:sz w:val="28"/>
          <w:szCs w:val="28"/>
        </w:rPr>
        <w:t>, направленных на</w:t>
      </w:r>
      <w:r w:rsidR="00FA4E2E" w:rsidRPr="002362C1">
        <w:rPr>
          <w:rFonts w:ascii="Times New Roman" w:hAnsi="Times New Roman"/>
          <w:sz w:val="28"/>
          <w:szCs w:val="28"/>
        </w:rPr>
        <w:t>:</w:t>
      </w:r>
    </w:p>
    <w:p w:rsidR="00D75F66" w:rsidRDefault="00D75F66" w:rsidP="00D75F66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AE7626" w:rsidRPr="00AE7626">
        <w:rPr>
          <w:rFonts w:ascii="Times New Roman" w:hAnsi="Times New Roman"/>
          <w:sz w:val="28"/>
          <w:szCs w:val="28"/>
        </w:rPr>
        <w:t>сил</w:t>
      </w:r>
      <w:r w:rsidR="00C95B68">
        <w:rPr>
          <w:rFonts w:ascii="Times New Roman" w:hAnsi="Times New Roman"/>
          <w:sz w:val="28"/>
          <w:szCs w:val="28"/>
        </w:rPr>
        <w:t>ение</w:t>
      </w:r>
      <w:r w:rsidR="00AE7626" w:rsidRPr="00AE7626">
        <w:rPr>
          <w:rFonts w:ascii="Times New Roman" w:hAnsi="Times New Roman"/>
          <w:sz w:val="28"/>
          <w:szCs w:val="28"/>
        </w:rPr>
        <w:t xml:space="preserve"> контрол</w:t>
      </w:r>
      <w:r w:rsidR="00C95B68">
        <w:rPr>
          <w:rFonts w:ascii="Times New Roman" w:hAnsi="Times New Roman"/>
          <w:sz w:val="28"/>
          <w:szCs w:val="28"/>
        </w:rPr>
        <w:t>я</w:t>
      </w:r>
      <w:r w:rsidR="00AE7626" w:rsidRPr="00AE7626">
        <w:rPr>
          <w:rFonts w:ascii="Times New Roman" w:hAnsi="Times New Roman"/>
          <w:sz w:val="28"/>
          <w:szCs w:val="28"/>
        </w:rPr>
        <w:t xml:space="preserve"> за качеством подготовки закупочной документации и работы с извещениями</w:t>
      </w:r>
      <w:r>
        <w:rPr>
          <w:rFonts w:ascii="Times New Roman" w:hAnsi="Times New Roman"/>
          <w:sz w:val="28"/>
          <w:szCs w:val="28"/>
        </w:rPr>
        <w:t>;</w:t>
      </w:r>
    </w:p>
    <w:p w:rsidR="00D75F66" w:rsidRDefault="00D75F66" w:rsidP="00D75F66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AE7626" w:rsidRPr="00AE7626">
        <w:rPr>
          <w:rFonts w:ascii="Times New Roman" w:hAnsi="Times New Roman"/>
          <w:sz w:val="28"/>
          <w:szCs w:val="28"/>
        </w:rPr>
        <w:t>азвитие цифровых инструментов, таких как РИС «Торги Курской области», добав</w:t>
      </w:r>
      <w:r w:rsidR="00C95B68">
        <w:rPr>
          <w:rFonts w:ascii="Times New Roman" w:hAnsi="Times New Roman"/>
          <w:sz w:val="28"/>
          <w:szCs w:val="28"/>
        </w:rPr>
        <w:t>ление</w:t>
      </w:r>
      <w:r w:rsidR="00AE7626" w:rsidRPr="00AE7626">
        <w:rPr>
          <w:rFonts w:ascii="Times New Roman" w:hAnsi="Times New Roman"/>
          <w:sz w:val="28"/>
          <w:szCs w:val="28"/>
        </w:rPr>
        <w:t xml:space="preserve"> аналитически</w:t>
      </w:r>
      <w:r w:rsidR="00C95B68">
        <w:rPr>
          <w:rFonts w:ascii="Times New Roman" w:hAnsi="Times New Roman"/>
          <w:sz w:val="28"/>
          <w:szCs w:val="28"/>
        </w:rPr>
        <w:t xml:space="preserve">х </w:t>
      </w:r>
      <w:r w:rsidR="00AE7626" w:rsidRPr="00AE7626">
        <w:rPr>
          <w:rFonts w:ascii="Times New Roman" w:hAnsi="Times New Roman"/>
          <w:sz w:val="28"/>
          <w:szCs w:val="28"/>
        </w:rPr>
        <w:t>и прогнозны</w:t>
      </w:r>
      <w:r w:rsidR="00C95B68">
        <w:rPr>
          <w:rFonts w:ascii="Times New Roman" w:hAnsi="Times New Roman"/>
          <w:sz w:val="28"/>
          <w:szCs w:val="28"/>
        </w:rPr>
        <w:t>х</w:t>
      </w:r>
      <w:r w:rsidR="00AE7626" w:rsidRPr="00AE7626">
        <w:rPr>
          <w:rFonts w:ascii="Times New Roman" w:hAnsi="Times New Roman"/>
          <w:sz w:val="28"/>
          <w:szCs w:val="28"/>
        </w:rPr>
        <w:t xml:space="preserve"> функции</w:t>
      </w:r>
      <w:r>
        <w:rPr>
          <w:rFonts w:ascii="Times New Roman" w:hAnsi="Times New Roman"/>
          <w:sz w:val="28"/>
          <w:szCs w:val="28"/>
        </w:rPr>
        <w:t>;</w:t>
      </w:r>
    </w:p>
    <w:p w:rsidR="00AE7626" w:rsidRPr="00AE7626" w:rsidRDefault="00D75F66" w:rsidP="00D75F66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C95B68">
        <w:rPr>
          <w:rFonts w:ascii="Times New Roman" w:hAnsi="Times New Roman"/>
          <w:sz w:val="28"/>
          <w:szCs w:val="28"/>
        </w:rPr>
        <w:t>существление</w:t>
      </w:r>
      <w:r w:rsidR="00AE7626" w:rsidRPr="00AE7626">
        <w:rPr>
          <w:rFonts w:ascii="Times New Roman" w:hAnsi="Times New Roman"/>
          <w:sz w:val="28"/>
          <w:szCs w:val="28"/>
        </w:rPr>
        <w:t xml:space="preserve"> регулярно</w:t>
      </w:r>
      <w:r w:rsidR="00C95B68">
        <w:rPr>
          <w:rFonts w:ascii="Times New Roman" w:hAnsi="Times New Roman"/>
          <w:sz w:val="28"/>
          <w:szCs w:val="28"/>
        </w:rPr>
        <w:t>го</w:t>
      </w:r>
      <w:r w:rsidR="00AE7626" w:rsidRPr="00AE7626">
        <w:rPr>
          <w:rFonts w:ascii="Times New Roman" w:hAnsi="Times New Roman"/>
          <w:sz w:val="28"/>
          <w:szCs w:val="28"/>
        </w:rPr>
        <w:t xml:space="preserve"> обучени</w:t>
      </w:r>
      <w:r w:rsidR="00C95B68">
        <w:rPr>
          <w:rFonts w:ascii="Times New Roman" w:hAnsi="Times New Roman"/>
          <w:sz w:val="28"/>
          <w:szCs w:val="28"/>
        </w:rPr>
        <w:t>я</w:t>
      </w:r>
      <w:r w:rsidR="00AE7626" w:rsidRPr="00AE7626">
        <w:rPr>
          <w:rFonts w:ascii="Times New Roman" w:hAnsi="Times New Roman"/>
          <w:sz w:val="28"/>
          <w:szCs w:val="28"/>
        </w:rPr>
        <w:t xml:space="preserve"> специалистов по закупкам для повышения их профессионального уровня.</w:t>
      </w:r>
    </w:p>
    <w:p w:rsidR="00AE7626" w:rsidRDefault="00C95B68" w:rsidP="00E655B1">
      <w:pPr>
        <w:tabs>
          <w:tab w:val="left" w:pos="709"/>
        </w:tabs>
        <w:autoSpaceDE w:val="0"/>
        <w:autoSpaceDN w:val="0"/>
        <w:adjustRightInd w:val="0"/>
        <w:spacing w:after="0"/>
        <w:ind w:firstLine="660"/>
        <w:jc w:val="both"/>
        <w:outlineLvl w:val="0"/>
        <w:rPr>
          <w:rFonts w:ascii="Times New Roman" w:hAnsi="Times New Roman"/>
          <w:sz w:val="28"/>
          <w:szCs w:val="28"/>
        </w:rPr>
      </w:pPr>
      <w:r w:rsidRPr="00C95B68">
        <w:rPr>
          <w:rFonts w:ascii="Times New Roman" w:hAnsi="Times New Roman"/>
          <w:sz w:val="28"/>
          <w:szCs w:val="28"/>
        </w:rPr>
        <w:lastRenderedPageBreak/>
        <w:t xml:space="preserve">Реализация данных </w:t>
      </w:r>
      <w:r w:rsidR="008F0B52">
        <w:rPr>
          <w:rFonts w:ascii="Times New Roman" w:hAnsi="Times New Roman"/>
          <w:sz w:val="28"/>
          <w:szCs w:val="28"/>
        </w:rPr>
        <w:t>мер</w:t>
      </w:r>
      <w:r w:rsidRPr="00C95B68">
        <w:rPr>
          <w:rFonts w:ascii="Times New Roman" w:hAnsi="Times New Roman"/>
          <w:sz w:val="28"/>
          <w:szCs w:val="28"/>
        </w:rPr>
        <w:t xml:space="preserve"> позволит не только </w:t>
      </w:r>
      <w:r>
        <w:rPr>
          <w:rFonts w:ascii="Times New Roman" w:hAnsi="Times New Roman"/>
          <w:sz w:val="28"/>
          <w:szCs w:val="28"/>
        </w:rPr>
        <w:t xml:space="preserve">минимизировать </w:t>
      </w:r>
      <w:r w:rsidRPr="00C95B68">
        <w:rPr>
          <w:rFonts w:ascii="Times New Roman" w:hAnsi="Times New Roman"/>
          <w:sz w:val="28"/>
          <w:szCs w:val="28"/>
        </w:rPr>
        <w:t xml:space="preserve">выявленные недостатки, </w:t>
      </w:r>
      <w:r>
        <w:rPr>
          <w:rFonts w:ascii="Times New Roman" w:hAnsi="Times New Roman"/>
          <w:sz w:val="28"/>
          <w:szCs w:val="28"/>
        </w:rPr>
        <w:t>но и</w:t>
      </w:r>
      <w:r w:rsidR="00AE7626" w:rsidRPr="00AE7626">
        <w:rPr>
          <w:rFonts w:ascii="Times New Roman" w:hAnsi="Times New Roman"/>
          <w:sz w:val="28"/>
          <w:szCs w:val="28"/>
        </w:rPr>
        <w:t xml:space="preserve"> обеспечит дальнейшее развитие контрактной системы Курской области, направленное на рациональное использование бюджетных средств и повышение эффективности закупочной деятельности.</w:t>
      </w:r>
    </w:p>
    <w:p w:rsidR="00AE7626" w:rsidRPr="00AE7626" w:rsidRDefault="00AE7626" w:rsidP="00E655B1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AE7626" w:rsidRPr="00AE7626" w:rsidSect="00E91FFC">
      <w:head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1FA" w:rsidRDefault="00CB31FA" w:rsidP="00041C57">
      <w:pPr>
        <w:spacing w:after="0" w:line="240" w:lineRule="auto"/>
      </w:pPr>
      <w:r>
        <w:separator/>
      </w:r>
    </w:p>
  </w:endnote>
  <w:endnote w:type="continuationSeparator" w:id="0">
    <w:p w:rsidR="00CB31FA" w:rsidRDefault="00CB31FA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1FA" w:rsidRDefault="00CB31FA" w:rsidP="00041C57">
      <w:pPr>
        <w:spacing w:after="0" w:line="240" w:lineRule="auto"/>
      </w:pPr>
      <w:r>
        <w:separator/>
      </w:r>
    </w:p>
  </w:footnote>
  <w:footnote w:type="continuationSeparator" w:id="0">
    <w:p w:rsidR="00CB31FA" w:rsidRDefault="00CB31FA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61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0D64" w:rsidRPr="008B65B6" w:rsidRDefault="007804D9">
        <w:pPr>
          <w:jc w:val="center"/>
          <w:rPr>
            <w:rFonts w:ascii="Times New Roman" w:hAnsi="Times New Roman" w:cs="Times New Roman"/>
          </w:rPr>
        </w:pPr>
        <w:r w:rsidRPr="008B65B6">
          <w:rPr>
            <w:rFonts w:ascii="Times New Roman" w:hAnsi="Times New Roman" w:cs="Times New Roman"/>
          </w:rPr>
          <w:fldChar w:fldCharType="begin"/>
        </w:r>
        <w:r w:rsidR="00920D64" w:rsidRPr="008B65B6">
          <w:rPr>
            <w:rFonts w:ascii="Times New Roman" w:hAnsi="Times New Roman" w:cs="Times New Roman"/>
          </w:rPr>
          <w:instrText>PAGE   \* MERGEFORMAT</w:instrText>
        </w:r>
        <w:r w:rsidRPr="008B65B6">
          <w:rPr>
            <w:rFonts w:ascii="Times New Roman" w:hAnsi="Times New Roman" w:cs="Times New Roman"/>
          </w:rPr>
          <w:fldChar w:fldCharType="separate"/>
        </w:r>
        <w:r w:rsidR="000863C7">
          <w:rPr>
            <w:rFonts w:ascii="Times New Roman" w:hAnsi="Times New Roman" w:cs="Times New Roman"/>
            <w:noProof/>
          </w:rPr>
          <w:t>6</w:t>
        </w:r>
        <w:r w:rsidRPr="008B65B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2910"/>
    <w:multiLevelType w:val="hybridMultilevel"/>
    <w:tmpl w:val="3CE45976"/>
    <w:lvl w:ilvl="0" w:tplc="569C0D22">
      <w:start w:val="1"/>
      <w:numFmt w:val="decimal"/>
      <w:lvlText w:val="%1."/>
      <w:lvlJc w:val="left"/>
      <w:pPr>
        <w:ind w:left="163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62F"/>
    <w:rsid w:val="00001E1A"/>
    <w:rsid w:val="000140C0"/>
    <w:rsid w:val="0002191F"/>
    <w:rsid w:val="00024992"/>
    <w:rsid w:val="000363EE"/>
    <w:rsid w:val="000367B0"/>
    <w:rsid w:val="00036F7F"/>
    <w:rsid w:val="000371DF"/>
    <w:rsid w:val="00041C57"/>
    <w:rsid w:val="0004359D"/>
    <w:rsid w:val="0004371C"/>
    <w:rsid w:val="0004541E"/>
    <w:rsid w:val="000545E2"/>
    <w:rsid w:val="00056753"/>
    <w:rsid w:val="00056B30"/>
    <w:rsid w:val="0006127D"/>
    <w:rsid w:val="000626BD"/>
    <w:rsid w:val="00063038"/>
    <w:rsid w:val="00064030"/>
    <w:rsid w:val="00064AAE"/>
    <w:rsid w:val="000719F1"/>
    <w:rsid w:val="00075362"/>
    <w:rsid w:val="00077404"/>
    <w:rsid w:val="00077427"/>
    <w:rsid w:val="00077F31"/>
    <w:rsid w:val="000812C0"/>
    <w:rsid w:val="00081F87"/>
    <w:rsid w:val="000863C7"/>
    <w:rsid w:val="00091E54"/>
    <w:rsid w:val="0009222B"/>
    <w:rsid w:val="00092452"/>
    <w:rsid w:val="00094399"/>
    <w:rsid w:val="000A02E7"/>
    <w:rsid w:val="000A06F8"/>
    <w:rsid w:val="000A24AA"/>
    <w:rsid w:val="000A270B"/>
    <w:rsid w:val="000A28FC"/>
    <w:rsid w:val="000B0DFD"/>
    <w:rsid w:val="000B22BE"/>
    <w:rsid w:val="000B4518"/>
    <w:rsid w:val="000B48DF"/>
    <w:rsid w:val="000B5F87"/>
    <w:rsid w:val="000B79C7"/>
    <w:rsid w:val="000C0B4E"/>
    <w:rsid w:val="000C1B59"/>
    <w:rsid w:val="000C1BDC"/>
    <w:rsid w:val="000C2EC8"/>
    <w:rsid w:val="000C4108"/>
    <w:rsid w:val="000D6ADD"/>
    <w:rsid w:val="000E0AAD"/>
    <w:rsid w:val="000E3EE3"/>
    <w:rsid w:val="000E7D86"/>
    <w:rsid w:val="000F0153"/>
    <w:rsid w:val="000F25EA"/>
    <w:rsid w:val="000F308D"/>
    <w:rsid w:val="0010205D"/>
    <w:rsid w:val="00103222"/>
    <w:rsid w:val="001045F6"/>
    <w:rsid w:val="0010631A"/>
    <w:rsid w:val="00107BB9"/>
    <w:rsid w:val="0011096D"/>
    <w:rsid w:val="00112BE9"/>
    <w:rsid w:val="00115B20"/>
    <w:rsid w:val="001170A7"/>
    <w:rsid w:val="00122E2A"/>
    <w:rsid w:val="00122F59"/>
    <w:rsid w:val="00123C32"/>
    <w:rsid w:val="00123DB9"/>
    <w:rsid w:val="00124F42"/>
    <w:rsid w:val="00126066"/>
    <w:rsid w:val="00126AF7"/>
    <w:rsid w:val="00131982"/>
    <w:rsid w:val="00133182"/>
    <w:rsid w:val="00135647"/>
    <w:rsid w:val="001357A5"/>
    <w:rsid w:val="001403F8"/>
    <w:rsid w:val="00142B1A"/>
    <w:rsid w:val="00144BAA"/>
    <w:rsid w:val="00145E6D"/>
    <w:rsid w:val="00146417"/>
    <w:rsid w:val="00147CFB"/>
    <w:rsid w:val="001535E6"/>
    <w:rsid w:val="001561EF"/>
    <w:rsid w:val="00157E18"/>
    <w:rsid w:val="00157F71"/>
    <w:rsid w:val="001607CC"/>
    <w:rsid w:val="00166488"/>
    <w:rsid w:val="0017004E"/>
    <w:rsid w:val="00170E1B"/>
    <w:rsid w:val="001807EA"/>
    <w:rsid w:val="001808CD"/>
    <w:rsid w:val="00183AE9"/>
    <w:rsid w:val="00187C5B"/>
    <w:rsid w:val="001919D1"/>
    <w:rsid w:val="001921C2"/>
    <w:rsid w:val="001B0105"/>
    <w:rsid w:val="001B121B"/>
    <w:rsid w:val="001B2C01"/>
    <w:rsid w:val="001C0455"/>
    <w:rsid w:val="001C0FB9"/>
    <w:rsid w:val="001C1A58"/>
    <w:rsid w:val="001C3783"/>
    <w:rsid w:val="001C4334"/>
    <w:rsid w:val="001C67A1"/>
    <w:rsid w:val="001C7611"/>
    <w:rsid w:val="001D52C1"/>
    <w:rsid w:val="001E2208"/>
    <w:rsid w:val="001E27A7"/>
    <w:rsid w:val="001E5724"/>
    <w:rsid w:val="001F011E"/>
    <w:rsid w:val="001F1ED5"/>
    <w:rsid w:val="001F6D9A"/>
    <w:rsid w:val="00201866"/>
    <w:rsid w:val="00206F55"/>
    <w:rsid w:val="002108C5"/>
    <w:rsid w:val="00212337"/>
    <w:rsid w:val="002158D9"/>
    <w:rsid w:val="00217230"/>
    <w:rsid w:val="0022145D"/>
    <w:rsid w:val="00230AAF"/>
    <w:rsid w:val="00230DE7"/>
    <w:rsid w:val="002316DF"/>
    <w:rsid w:val="002362C1"/>
    <w:rsid w:val="00236AD9"/>
    <w:rsid w:val="002405FA"/>
    <w:rsid w:val="0024192D"/>
    <w:rsid w:val="00246400"/>
    <w:rsid w:val="00250870"/>
    <w:rsid w:val="00251D6A"/>
    <w:rsid w:val="00252290"/>
    <w:rsid w:val="00252F52"/>
    <w:rsid w:val="00257178"/>
    <w:rsid w:val="00260C09"/>
    <w:rsid w:val="00264516"/>
    <w:rsid w:val="0026474D"/>
    <w:rsid w:val="00265307"/>
    <w:rsid w:val="002678B5"/>
    <w:rsid w:val="002716D7"/>
    <w:rsid w:val="00272293"/>
    <w:rsid w:val="00277695"/>
    <w:rsid w:val="00290BF5"/>
    <w:rsid w:val="002951DB"/>
    <w:rsid w:val="002B6763"/>
    <w:rsid w:val="002B67ED"/>
    <w:rsid w:val="002B6DED"/>
    <w:rsid w:val="002C7D2E"/>
    <w:rsid w:val="002D044A"/>
    <w:rsid w:val="002D1F98"/>
    <w:rsid w:val="002D2459"/>
    <w:rsid w:val="002D49F2"/>
    <w:rsid w:val="002D4F10"/>
    <w:rsid w:val="002D5EAB"/>
    <w:rsid w:val="002D7932"/>
    <w:rsid w:val="002D7F6F"/>
    <w:rsid w:val="002E080E"/>
    <w:rsid w:val="002E0CFE"/>
    <w:rsid w:val="002E1C45"/>
    <w:rsid w:val="002E1D48"/>
    <w:rsid w:val="002E3A5C"/>
    <w:rsid w:val="002E51A8"/>
    <w:rsid w:val="002E5F9B"/>
    <w:rsid w:val="002E6B29"/>
    <w:rsid w:val="002F6461"/>
    <w:rsid w:val="00300072"/>
    <w:rsid w:val="003046DC"/>
    <w:rsid w:val="00307266"/>
    <w:rsid w:val="0030744D"/>
    <w:rsid w:val="00307FEA"/>
    <w:rsid w:val="003127AD"/>
    <w:rsid w:val="00316924"/>
    <w:rsid w:val="00316A03"/>
    <w:rsid w:val="00316C70"/>
    <w:rsid w:val="003172DE"/>
    <w:rsid w:val="00336268"/>
    <w:rsid w:val="003431D4"/>
    <w:rsid w:val="00351EF5"/>
    <w:rsid w:val="00353B94"/>
    <w:rsid w:val="003540C6"/>
    <w:rsid w:val="00354227"/>
    <w:rsid w:val="00356B80"/>
    <w:rsid w:val="00356BA0"/>
    <w:rsid w:val="003620DD"/>
    <w:rsid w:val="00363727"/>
    <w:rsid w:val="00363F93"/>
    <w:rsid w:val="00364826"/>
    <w:rsid w:val="00365866"/>
    <w:rsid w:val="00370C3F"/>
    <w:rsid w:val="0038173E"/>
    <w:rsid w:val="00382084"/>
    <w:rsid w:val="003843D6"/>
    <w:rsid w:val="00385B0E"/>
    <w:rsid w:val="0039149A"/>
    <w:rsid w:val="00394ACA"/>
    <w:rsid w:val="003A08AA"/>
    <w:rsid w:val="003A1150"/>
    <w:rsid w:val="003A74B2"/>
    <w:rsid w:val="003A7B37"/>
    <w:rsid w:val="003B3397"/>
    <w:rsid w:val="003C097E"/>
    <w:rsid w:val="003C66DF"/>
    <w:rsid w:val="003C6DD6"/>
    <w:rsid w:val="003D2B38"/>
    <w:rsid w:val="003D5366"/>
    <w:rsid w:val="003D5AC3"/>
    <w:rsid w:val="003D5B9B"/>
    <w:rsid w:val="003D7DB6"/>
    <w:rsid w:val="003E1C98"/>
    <w:rsid w:val="003E27E2"/>
    <w:rsid w:val="003E4AA5"/>
    <w:rsid w:val="003E5381"/>
    <w:rsid w:val="003F0424"/>
    <w:rsid w:val="003F29D3"/>
    <w:rsid w:val="003F333D"/>
    <w:rsid w:val="003F42AE"/>
    <w:rsid w:val="003F5E9B"/>
    <w:rsid w:val="003F6A1E"/>
    <w:rsid w:val="00400CA2"/>
    <w:rsid w:val="00401662"/>
    <w:rsid w:val="00401B98"/>
    <w:rsid w:val="00402080"/>
    <w:rsid w:val="0040244B"/>
    <w:rsid w:val="00402728"/>
    <w:rsid w:val="00404159"/>
    <w:rsid w:val="0040555B"/>
    <w:rsid w:val="004063F1"/>
    <w:rsid w:val="00410FCE"/>
    <w:rsid w:val="004118F1"/>
    <w:rsid w:val="00412F96"/>
    <w:rsid w:val="004150DD"/>
    <w:rsid w:val="004151C6"/>
    <w:rsid w:val="00417977"/>
    <w:rsid w:val="00421A67"/>
    <w:rsid w:val="0042280B"/>
    <w:rsid w:val="0042552B"/>
    <w:rsid w:val="00426913"/>
    <w:rsid w:val="00426D6E"/>
    <w:rsid w:val="004302FC"/>
    <w:rsid w:val="0043628C"/>
    <w:rsid w:val="00437978"/>
    <w:rsid w:val="00442B9D"/>
    <w:rsid w:val="00445C6C"/>
    <w:rsid w:val="00450E46"/>
    <w:rsid w:val="00451F20"/>
    <w:rsid w:val="004560EE"/>
    <w:rsid w:val="00463997"/>
    <w:rsid w:val="00466A90"/>
    <w:rsid w:val="004675E2"/>
    <w:rsid w:val="00472CC8"/>
    <w:rsid w:val="004738A2"/>
    <w:rsid w:val="00473FD8"/>
    <w:rsid w:val="00474ABC"/>
    <w:rsid w:val="00481F32"/>
    <w:rsid w:val="00482EFB"/>
    <w:rsid w:val="004841C5"/>
    <w:rsid w:val="00486782"/>
    <w:rsid w:val="00487BDC"/>
    <w:rsid w:val="00492CA8"/>
    <w:rsid w:val="004A0B58"/>
    <w:rsid w:val="004A199D"/>
    <w:rsid w:val="004A3159"/>
    <w:rsid w:val="004A429E"/>
    <w:rsid w:val="004B0D39"/>
    <w:rsid w:val="004B10F9"/>
    <w:rsid w:val="004B2787"/>
    <w:rsid w:val="004B3081"/>
    <w:rsid w:val="004B30DE"/>
    <w:rsid w:val="004B4577"/>
    <w:rsid w:val="004C0318"/>
    <w:rsid w:val="004C0DA4"/>
    <w:rsid w:val="004C328E"/>
    <w:rsid w:val="004C4B7F"/>
    <w:rsid w:val="004C4BCB"/>
    <w:rsid w:val="004C78EF"/>
    <w:rsid w:val="004C7E52"/>
    <w:rsid w:val="004D18B3"/>
    <w:rsid w:val="004D259A"/>
    <w:rsid w:val="004D5A8C"/>
    <w:rsid w:val="004D6491"/>
    <w:rsid w:val="004D6FB5"/>
    <w:rsid w:val="004D7887"/>
    <w:rsid w:val="004D7AC4"/>
    <w:rsid w:val="004E1311"/>
    <w:rsid w:val="004E1E01"/>
    <w:rsid w:val="004E4400"/>
    <w:rsid w:val="004E6F7F"/>
    <w:rsid w:val="004F08B3"/>
    <w:rsid w:val="004F25AF"/>
    <w:rsid w:val="004F7A81"/>
    <w:rsid w:val="00501EA6"/>
    <w:rsid w:val="00504869"/>
    <w:rsid w:val="0051416C"/>
    <w:rsid w:val="00514B82"/>
    <w:rsid w:val="00516BF9"/>
    <w:rsid w:val="00523FD3"/>
    <w:rsid w:val="00524342"/>
    <w:rsid w:val="005245AD"/>
    <w:rsid w:val="00524F0E"/>
    <w:rsid w:val="00525BE0"/>
    <w:rsid w:val="00526127"/>
    <w:rsid w:val="00534EDF"/>
    <w:rsid w:val="0054058B"/>
    <w:rsid w:val="00541785"/>
    <w:rsid w:val="00542D76"/>
    <w:rsid w:val="00543B23"/>
    <w:rsid w:val="00543BA2"/>
    <w:rsid w:val="00546E44"/>
    <w:rsid w:val="005471E5"/>
    <w:rsid w:val="00547A61"/>
    <w:rsid w:val="00552338"/>
    <w:rsid w:val="00556B2E"/>
    <w:rsid w:val="00560EF2"/>
    <w:rsid w:val="00576120"/>
    <w:rsid w:val="005841FF"/>
    <w:rsid w:val="00585AD9"/>
    <w:rsid w:val="0058697E"/>
    <w:rsid w:val="005959C9"/>
    <w:rsid w:val="00596A6B"/>
    <w:rsid w:val="00596E62"/>
    <w:rsid w:val="00597023"/>
    <w:rsid w:val="005A0B7D"/>
    <w:rsid w:val="005A333F"/>
    <w:rsid w:val="005A3DD6"/>
    <w:rsid w:val="005A3FB3"/>
    <w:rsid w:val="005B0304"/>
    <w:rsid w:val="005B0434"/>
    <w:rsid w:val="005B0F02"/>
    <w:rsid w:val="005B17C2"/>
    <w:rsid w:val="005B1B36"/>
    <w:rsid w:val="005B23DE"/>
    <w:rsid w:val="005B2DAD"/>
    <w:rsid w:val="005B44E7"/>
    <w:rsid w:val="005C1A39"/>
    <w:rsid w:val="005C7429"/>
    <w:rsid w:val="005D06E1"/>
    <w:rsid w:val="005D1E12"/>
    <w:rsid w:val="005D3C88"/>
    <w:rsid w:val="005D3D29"/>
    <w:rsid w:val="005E1C23"/>
    <w:rsid w:val="005E3AAD"/>
    <w:rsid w:val="005E7314"/>
    <w:rsid w:val="005F0F78"/>
    <w:rsid w:val="005F1BA7"/>
    <w:rsid w:val="005F3D30"/>
    <w:rsid w:val="005F44B7"/>
    <w:rsid w:val="005F7504"/>
    <w:rsid w:val="00600215"/>
    <w:rsid w:val="006011AD"/>
    <w:rsid w:val="00603792"/>
    <w:rsid w:val="00611E94"/>
    <w:rsid w:val="00612889"/>
    <w:rsid w:val="00613255"/>
    <w:rsid w:val="00617E18"/>
    <w:rsid w:val="00623053"/>
    <w:rsid w:val="0062397B"/>
    <w:rsid w:val="00624DE8"/>
    <w:rsid w:val="006329A3"/>
    <w:rsid w:val="00643319"/>
    <w:rsid w:val="006451A6"/>
    <w:rsid w:val="006465F3"/>
    <w:rsid w:val="00646AC2"/>
    <w:rsid w:val="0065009A"/>
    <w:rsid w:val="006509B5"/>
    <w:rsid w:val="006520A2"/>
    <w:rsid w:val="006525F9"/>
    <w:rsid w:val="0065365E"/>
    <w:rsid w:val="00664138"/>
    <w:rsid w:val="00667E4C"/>
    <w:rsid w:val="00672584"/>
    <w:rsid w:val="00673ED9"/>
    <w:rsid w:val="00680EF9"/>
    <w:rsid w:val="00681992"/>
    <w:rsid w:val="00685CD5"/>
    <w:rsid w:val="00692AEE"/>
    <w:rsid w:val="00695BE7"/>
    <w:rsid w:val="00695EDE"/>
    <w:rsid w:val="006A0B5B"/>
    <w:rsid w:val="006A15E8"/>
    <w:rsid w:val="006A20B0"/>
    <w:rsid w:val="006A249E"/>
    <w:rsid w:val="006A3BD3"/>
    <w:rsid w:val="006A72C2"/>
    <w:rsid w:val="006A7E83"/>
    <w:rsid w:val="006B1CCC"/>
    <w:rsid w:val="006B5B07"/>
    <w:rsid w:val="006C3763"/>
    <w:rsid w:val="006D4A3D"/>
    <w:rsid w:val="006E0B57"/>
    <w:rsid w:val="006E5D82"/>
    <w:rsid w:val="006E7907"/>
    <w:rsid w:val="006F1871"/>
    <w:rsid w:val="006F1E24"/>
    <w:rsid w:val="006F32DC"/>
    <w:rsid w:val="006F3DBE"/>
    <w:rsid w:val="00702179"/>
    <w:rsid w:val="0070356F"/>
    <w:rsid w:val="0070620E"/>
    <w:rsid w:val="007076E0"/>
    <w:rsid w:val="00707BED"/>
    <w:rsid w:val="00723CC9"/>
    <w:rsid w:val="00725EEE"/>
    <w:rsid w:val="007261F4"/>
    <w:rsid w:val="00727180"/>
    <w:rsid w:val="00727DDA"/>
    <w:rsid w:val="007305B8"/>
    <w:rsid w:val="00731C7C"/>
    <w:rsid w:val="007322AA"/>
    <w:rsid w:val="00733313"/>
    <w:rsid w:val="00734B6C"/>
    <w:rsid w:val="00744178"/>
    <w:rsid w:val="0075236F"/>
    <w:rsid w:val="00754834"/>
    <w:rsid w:val="0075687A"/>
    <w:rsid w:val="00761279"/>
    <w:rsid w:val="00762D4D"/>
    <w:rsid w:val="00767D1A"/>
    <w:rsid w:val="007749E6"/>
    <w:rsid w:val="007804D9"/>
    <w:rsid w:val="00780DD1"/>
    <w:rsid w:val="00786267"/>
    <w:rsid w:val="0078676E"/>
    <w:rsid w:val="007870AC"/>
    <w:rsid w:val="00787C1A"/>
    <w:rsid w:val="007917C7"/>
    <w:rsid w:val="00793F5E"/>
    <w:rsid w:val="007968BF"/>
    <w:rsid w:val="007970C2"/>
    <w:rsid w:val="007A48D3"/>
    <w:rsid w:val="007A5048"/>
    <w:rsid w:val="007A6286"/>
    <w:rsid w:val="007A63C1"/>
    <w:rsid w:val="007A7097"/>
    <w:rsid w:val="007B0190"/>
    <w:rsid w:val="007B1C11"/>
    <w:rsid w:val="007B1F4F"/>
    <w:rsid w:val="007B5A2D"/>
    <w:rsid w:val="007B7929"/>
    <w:rsid w:val="007C18FB"/>
    <w:rsid w:val="007C7D66"/>
    <w:rsid w:val="007D0699"/>
    <w:rsid w:val="007D34F7"/>
    <w:rsid w:val="007D71E6"/>
    <w:rsid w:val="007E2724"/>
    <w:rsid w:val="007E39B6"/>
    <w:rsid w:val="007E3C2B"/>
    <w:rsid w:val="007E5380"/>
    <w:rsid w:val="007E7CA6"/>
    <w:rsid w:val="007F2375"/>
    <w:rsid w:val="007F43D2"/>
    <w:rsid w:val="007F4A93"/>
    <w:rsid w:val="007F4EED"/>
    <w:rsid w:val="00802713"/>
    <w:rsid w:val="00803D48"/>
    <w:rsid w:val="00805516"/>
    <w:rsid w:val="0081244A"/>
    <w:rsid w:val="00812924"/>
    <w:rsid w:val="00812C76"/>
    <w:rsid w:val="00814994"/>
    <w:rsid w:val="008151CC"/>
    <w:rsid w:val="00820272"/>
    <w:rsid w:val="00825E02"/>
    <w:rsid w:val="008317C9"/>
    <w:rsid w:val="00834C32"/>
    <w:rsid w:val="00835DBA"/>
    <w:rsid w:val="0083633E"/>
    <w:rsid w:val="00836EEB"/>
    <w:rsid w:val="00840741"/>
    <w:rsid w:val="00842528"/>
    <w:rsid w:val="008460E8"/>
    <w:rsid w:val="00852D48"/>
    <w:rsid w:val="00853EE8"/>
    <w:rsid w:val="00860CE1"/>
    <w:rsid w:val="008633D9"/>
    <w:rsid w:val="00865D2C"/>
    <w:rsid w:val="008670AE"/>
    <w:rsid w:val="00873B1B"/>
    <w:rsid w:val="00874318"/>
    <w:rsid w:val="0087543A"/>
    <w:rsid w:val="0088024E"/>
    <w:rsid w:val="008814AB"/>
    <w:rsid w:val="00885097"/>
    <w:rsid w:val="008856A0"/>
    <w:rsid w:val="00890D6F"/>
    <w:rsid w:val="00893CE5"/>
    <w:rsid w:val="00894DF6"/>
    <w:rsid w:val="00895592"/>
    <w:rsid w:val="00896147"/>
    <w:rsid w:val="008A0294"/>
    <w:rsid w:val="008A1F7D"/>
    <w:rsid w:val="008A317F"/>
    <w:rsid w:val="008A4D8A"/>
    <w:rsid w:val="008B212F"/>
    <w:rsid w:val="008B5B81"/>
    <w:rsid w:val="008B65B6"/>
    <w:rsid w:val="008C15C6"/>
    <w:rsid w:val="008C2641"/>
    <w:rsid w:val="008D023E"/>
    <w:rsid w:val="008D47AC"/>
    <w:rsid w:val="008D616C"/>
    <w:rsid w:val="008D792C"/>
    <w:rsid w:val="008E0723"/>
    <w:rsid w:val="008E1D90"/>
    <w:rsid w:val="008E29F4"/>
    <w:rsid w:val="008E6AF2"/>
    <w:rsid w:val="008F0B52"/>
    <w:rsid w:val="008F4418"/>
    <w:rsid w:val="008F5333"/>
    <w:rsid w:val="00903921"/>
    <w:rsid w:val="00903F30"/>
    <w:rsid w:val="00903FA9"/>
    <w:rsid w:val="00906644"/>
    <w:rsid w:val="00906B1B"/>
    <w:rsid w:val="00907EF8"/>
    <w:rsid w:val="009109F4"/>
    <w:rsid w:val="009134D6"/>
    <w:rsid w:val="00914288"/>
    <w:rsid w:val="00916613"/>
    <w:rsid w:val="00916FD7"/>
    <w:rsid w:val="00917EE4"/>
    <w:rsid w:val="00920D64"/>
    <w:rsid w:val="00922FAE"/>
    <w:rsid w:val="00923697"/>
    <w:rsid w:val="00923B70"/>
    <w:rsid w:val="009247FE"/>
    <w:rsid w:val="00926BEE"/>
    <w:rsid w:val="009373E2"/>
    <w:rsid w:val="009375C4"/>
    <w:rsid w:val="009377FD"/>
    <w:rsid w:val="00937C7C"/>
    <w:rsid w:val="00940348"/>
    <w:rsid w:val="00941860"/>
    <w:rsid w:val="009436D2"/>
    <w:rsid w:val="009443B5"/>
    <w:rsid w:val="00946BB0"/>
    <w:rsid w:val="00951316"/>
    <w:rsid w:val="00952918"/>
    <w:rsid w:val="00953822"/>
    <w:rsid w:val="00953C3A"/>
    <w:rsid w:val="00953CE2"/>
    <w:rsid w:val="00957D69"/>
    <w:rsid w:val="009612D2"/>
    <w:rsid w:val="00962262"/>
    <w:rsid w:val="00962A06"/>
    <w:rsid w:val="00962A0A"/>
    <w:rsid w:val="00964444"/>
    <w:rsid w:val="0096628C"/>
    <w:rsid w:val="009671AE"/>
    <w:rsid w:val="00967686"/>
    <w:rsid w:val="009677AC"/>
    <w:rsid w:val="00967C8A"/>
    <w:rsid w:val="00973200"/>
    <w:rsid w:val="009771A5"/>
    <w:rsid w:val="00981A13"/>
    <w:rsid w:val="00985D45"/>
    <w:rsid w:val="009862CE"/>
    <w:rsid w:val="00992953"/>
    <w:rsid w:val="0099424D"/>
    <w:rsid w:val="009945B0"/>
    <w:rsid w:val="00995AFD"/>
    <w:rsid w:val="009A1661"/>
    <w:rsid w:val="009B181C"/>
    <w:rsid w:val="009B1B92"/>
    <w:rsid w:val="009B3A69"/>
    <w:rsid w:val="009B6613"/>
    <w:rsid w:val="009C0E24"/>
    <w:rsid w:val="009C2559"/>
    <w:rsid w:val="009C3527"/>
    <w:rsid w:val="009C7337"/>
    <w:rsid w:val="009C7D74"/>
    <w:rsid w:val="009D1254"/>
    <w:rsid w:val="009D2ADE"/>
    <w:rsid w:val="009D2D95"/>
    <w:rsid w:val="009D47FB"/>
    <w:rsid w:val="009D723D"/>
    <w:rsid w:val="009E350D"/>
    <w:rsid w:val="009E61B2"/>
    <w:rsid w:val="009E6A6C"/>
    <w:rsid w:val="009F577B"/>
    <w:rsid w:val="009F5CB5"/>
    <w:rsid w:val="009F6798"/>
    <w:rsid w:val="009F6C18"/>
    <w:rsid w:val="00A04493"/>
    <w:rsid w:val="00A04999"/>
    <w:rsid w:val="00A0750F"/>
    <w:rsid w:val="00A1069F"/>
    <w:rsid w:val="00A107E7"/>
    <w:rsid w:val="00A12E34"/>
    <w:rsid w:val="00A145AA"/>
    <w:rsid w:val="00A16A0F"/>
    <w:rsid w:val="00A17C01"/>
    <w:rsid w:val="00A3001C"/>
    <w:rsid w:val="00A33E71"/>
    <w:rsid w:val="00A3645E"/>
    <w:rsid w:val="00A37A97"/>
    <w:rsid w:val="00A40054"/>
    <w:rsid w:val="00A44E6C"/>
    <w:rsid w:val="00A452E3"/>
    <w:rsid w:val="00A45F2F"/>
    <w:rsid w:val="00A512C5"/>
    <w:rsid w:val="00A543AB"/>
    <w:rsid w:val="00A611B6"/>
    <w:rsid w:val="00A6629A"/>
    <w:rsid w:val="00A671F1"/>
    <w:rsid w:val="00A700EB"/>
    <w:rsid w:val="00A7075B"/>
    <w:rsid w:val="00A7257E"/>
    <w:rsid w:val="00A72F2F"/>
    <w:rsid w:val="00A73E95"/>
    <w:rsid w:val="00A73F99"/>
    <w:rsid w:val="00A740A6"/>
    <w:rsid w:val="00A803F9"/>
    <w:rsid w:val="00A867AB"/>
    <w:rsid w:val="00A877A8"/>
    <w:rsid w:val="00A9082C"/>
    <w:rsid w:val="00A91D85"/>
    <w:rsid w:val="00A96A14"/>
    <w:rsid w:val="00AA21D8"/>
    <w:rsid w:val="00AA2D31"/>
    <w:rsid w:val="00AB6B9E"/>
    <w:rsid w:val="00AB77F8"/>
    <w:rsid w:val="00AC365E"/>
    <w:rsid w:val="00AC36F5"/>
    <w:rsid w:val="00AC6F0B"/>
    <w:rsid w:val="00AD12C2"/>
    <w:rsid w:val="00AD4173"/>
    <w:rsid w:val="00AD6003"/>
    <w:rsid w:val="00AD6F55"/>
    <w:rsid w:val="00AE6D98"/>
    <w:rsid w:val="00AE7626"/>
    <w:rsid w:val="00AE7FF1"/>
    <w:rsid w:val="00AF1E99"/>
    <w:rsid w:val="00B03A4E"/>
    <w:rsid w:val="00B03A52"/>
    <w:rsid w:val="00B03DBE"/>
    <w:rsid w:val="00B0488D"/>
    <w:rsid w:val="00B0656B"/>
    <w:rsid w:val="00B10B21"/>
    <w:rsid w:val="00B13D7A"/>
    <w:rsid w:val="00B2066D"/>
    <w:rsid w:val="00B2178D"/>
    <w:rsid w:val="00B23AE8"/>
    <w:rsid w:val="00B24DFC"/>
    <w:rsid w:val="00B2562C"/>
    <w:rsid w:val="00B32193"/>
    <w:rsid w:val="00B37ADC"/>
    <w:rsid w:val="00B474EC"/>
    <w:rsid w:val="00B534B0"/>
    <w:rsid w:val="00B56306"/>
    <w:rsid w:val="00B709D0"/>
    <w:rsid w:val="00B71A24"/>
    <w:rsid w:val="00B71BEE"/>
    <w:rsid w:val="00B71FB8"/>
    <w:rsid w:val="00B76D10"/>
    <w:rsid w:val="00B76FE6"/>
    <w:rsid w:val="00B7732F"/>
    <w:rsid w:val="00B84764"/>
    <w:rsid w:val="00B87433"/>
    <w:rsid w:val="00B91C93"/>
    <w:rsid w:val="00B96258"/>
    <w:rsid w:val="00B97588"/>
    <w:rsid w:val="00BA1311"/>
    <w:rsid w:val="00BA52B9"/>
    <w:rsid w:val="00BA594A"/>
    <w:rsid w:val="00BB1B74"/>
    <w:rsid w:val="00BB7A8D"/>
    <w:rsid w:val="00BC0663"/>
    <w:rsid w:val="00BC66F8"/>
    <w:rsid w:val="00BD15AC"/>
    <w:rsid w:val="00BD3BCA"/>
    <w:rsid w:val="00BD469F"/>
    <w:rsid w:val="00BD48DD"/>
    <w:rsid w:val="00BD6A65"/>
    <w:rsid w:val="00BE15A0"/>
    <w:rsid w:val="00BE4520"/>
    <w:rsid w:val="00BE5B80"/>
    <w:rsid w:val="00BE6E5C"/>
    <w:rsid w:val="00BE7D9D"/>
    <w:rsid w:val="00BE7F51"/>
    <w:rsid w:val="00BF39D6"/>
    <w:rsid w:val="00BF72C1"/>
    <w:rsid w:val="00C100F6"/>
    <w:rsid w:val="00C11E41"/>
    <w:rsid w:val="00C14556"/>
    <w:rsid w:val="00C16B5A"/>
    <w:rsid w:val="00C23CF7"/>
    <w:rsid w:val="00C2412D"/>
    <w:rsid w:val="00C2636E"/>
    <w:rsid w:val="00C27D5D"/>
    <w:rsid w:val="00C3119E"/>
    <w:rsid w:val="00C32266"/>
    <w:rsid w:val="00C35C9C"/>
    <w:rsid w:val="00C530B1"/>
    <w:rsid w:val="00C64C0A"/>
    <w:rsid w:val="00C71D3B"/>
    <w:rsid w:val="00C77DB5"/>
    <w:rsid w:val="00C815F8"/>
    <w:rsid w:val="00C81C1A"/>
    <w:rsid w:val="00C82D7F"/>
    <w:rsid w:val="00C8357A"/>
    <w:rsid w:val="00C8439E"/>
    <w:rsid w:val="00C84ED7"/>
    <w:rsid w:val="00C9228E"/>
    <w:rsid w:val="00C940DA"/>
    <w:rsid w:val="00C95B68"/>
    <w:rsid w:val="00CA1A8E"/>
    <w:rsid w:val="00CA60E7"/>
    <w:rsid w:val="00CA6797"/>
    <w:rsid w:val="00CB14DA"/>
    <w:rsid w:val="00CB31FA"/>
    <w:rsid w:val="00CB481A"/>
    <w:rsid w:val="00CB7018"/>
    <w:rsid w:val="00CC068F"/>
    <w:rsid w:val="00CC208C"/>
    <w:rsid w:val="00CD211B"/>
    <w:rsid w:val="00CD2A34"/>
    <w:rsid w:val="00CD4217"/>
    <w:rsid w:val="00CD70C2"/>
    <w:rsid w:val="00CD7BB6"/>
    <w:rsid w:val="00CE468B"/>
    <w:rsid w:val="00CE55DD"/>
    <w:rsid w:val="00CF3E99"/>
    <w:rsid w:val="00CF6BA8"/>
    <w:rsid w:val="00D017E1"/>
    <w:rsid w:val="00D02F28"/>
    <w:rsid w:val="00D04249"/>
    <w:rsid w:val="00D05652"/>
    <w:rsid w:val="00D105F5"/>
    <w:rsid w:val="00D131BC"/>
    <w:rsid w:val="00D2155E"/>
    <w:rsid w:val="00D23F54"/>
    <w:rsid w:val="00D241B0"/>
    <w:rsid w:val="00D27EFD"/>
    <w:rsid w:val="00D33A88"/>
    <w:rsid w:val="00D34691"/>
    <w:rsid w:val="00D36207"/>
    <w:rsid w:val="00D37837"/>
    <w:rsid w:val="00D42C9A"/>
    <w:rsid w:val="00D4640A"/>
    <w:rsid w:val="00D46780"/>
    <w:rsid w:val="00D5116A"/>
    <w:rsid w:val="00D520F6"/>
    <w:rsid w:val="00D53AB9"/>
    <w:rsid w:val="00D56CC6"/>
    <w:rsid w:val="00D6028B"/>
    <w:rsid w:val="00D609BD"/>
    <w:rsid w:val="00D65605"/>
    <w:rsid w:val="00D66A52"/>
    <w:rsid w:val="00D7313D"/>
    <w:rsid w:val="00D75F66"/>
    <w:rsid w:val="00D809C5"/>
    <w:rsid w:val="00D815E6"/>
    <w:rsid w:val="00D85F9A"/>
    <w:rsid w:val="00D85FC5"/>
    <w:rsid w:val="00D86FC3"/>
    <w:rsid w:val="00D874EE"/>
    <w:rsid w:val="00DA0035"/>
    <w:rsid w:val="00DA2CB5"/>
    <w:rsid w:val="00DB20E4"/>
    <w:rsid w:val="00DB4EAA"/>
    <w:rsid w:val="00DB7244"/>
    <w:rsid w:val="00DB7501"/>
    <w:rsid w:val="00DC0D7D"/>
    <w:rsid w:val="00DC39BF"/>
    <w:rsid w:val="00DC3BAD"/>
    <w:rsid w:val="00DC4FC7"/>
    <w:rsid w:val="00DD1A63"/>
    <w:rsid w:val="00DD2D91"/>
    <w:rsid w:val="00DE07FC"/>
    <w:rsid w:val="00DE2908"/>
    <w:rsid w:val="00DE5CA1"/>
    <w:rsid w:val="00DF03C4"/>
    <w:rsid w:val="00DF05B3"/>
    <w:rsid w:val="00DF1D46"/>
    <w:rsid w:val="00DF2543"/>
    <w:rsid w:val="00DF45B2"/>
    <w:rsid w:val="00DF5B07"/>
    <w:rsid w:val="00E00AD3"/>
    <w:rsid w:val="00E023D3"/>
    <w:rsid w:val="00E03584"/>
    <w:rsid w:val="00E0484D"/>
    <w:rsid w:val="00E04E7D"/>
    <w:rsid w:val="00E06F17"/>
    <w:rsid w:val="00E134B4"/>
    <w:rsid w:val="00E13536"/>
    <w:rsid w:val="00E1469A"/>
    <w:rsid w:val="00E14C52"/>
    <w:rsid w:val="00E22EBA"/>
    <w:rsid w:val="00E2417F"/>
    <w:rsid w:val="00E242A2"/>
    <w:rsid w:val="00E30101"/>
    <w:rsid w:val="00E32379"/>
    <w:rsid w:val="00E32CC4"/>
    <w:rsid w:val="00E336DD"/>
    <w:rsid w:val="00E35F19"/>
    <w:rsid w:val="00E40394"/>
    <w:rsid w:val="00E42D17"/>
    <w:rsid w:val="00E512E6"/>
    <w:rsid w:val="00E51CAC"/>
    <w:rsid w:val="00E52475"/>
    <w:rsid w:val="00E54C87"/>
    <w:rsid w:val="00E655B1"/>
    <w:rsid w:val="00E7401E"/>
    <w:rsid w:val="00E75C65"/>
    <w:rsid w:val="00E77ED3"/>
    <w:rsid w:val="00E80597"/>
    <w:rsid w:val="00E80B94"/>
    <w:rsid w:val="00E839F7"/>
    <w:rsid w:val="00E8483E"/>
    <w:rsid w:val="00E855C7"/>
    <w:rsid w:val="00E86951"/>
    <w:rsid w:val="00E90037"/>
    <w:rsid w:val="00E91FFC"/>
    <w:rsid w:val="00E93A94"/>
    <w:rsid w:val="00E97225"/>
    <w:rsid w:val="00E97E75"/>
    <w:rsid w:val="00EA30E8"/>
    <w:rsid w:val="00EA30EF"/>
    <w:rsid w:val="00EB220E"/>
    <w:rsid w:val="00EC3190"/>
    <w:rsid w:val="00EC3D53"/>
    <w:rsid w:val="00EC544B"/>
    <w:rsid w:val="00ED0926"/>
    <w:rsid w:val="00ED18BC"/>
    <w:rsid w:val="00ED38B2"/>
    <w:rsid w:val="00ED648C"/>
    <w:rsid w:val="00EF31EC"/>
    <w:rsid w:val="00EF328F"/>
    <w:rsid w:val="00EF49BF"/>
    <w:rsid w:val="00EF5C5A"/>
    <w:rsid w:val="00EF67A3"/>
    <w:rsid w:val="00EF7A65"/>
    <w:rsid w:val="00F0742B"/>
    <w:rsid w:val="00F1265A"/>
    <w:rsid w:val="00F12AA8"/>
    <w:rsid w:val="00F13221"/>
    <w:rsid w:val="00F132A7"/>
    <w:rsid w:val="00F16BC0"/>
    <w:rsid w:val="00F2531D"/>
    <w:rsid w:val="00F25FC1"/>
    <w:rsid w:val="00F267F6"/>
    <w:rsid w:val="00F32343"/>
    <w:rsid w:val="00F447C8"/>
    <w:rsid w:val="00F50072"/>
    <w:rsid w:val="00F51D09"/>
    <w:rsid w:val="00F578EF"/>
    <w:rsid w:val="00F60EC8"/>
    <w:rsid w:val="00F6130D"/>
    <w:rsid w:val="00F61DEC"/>
    <w:rsid w:val="00F61E70"/>
    <w:rsid w:val="00F634BB"/>
    <w:rsid w:val="00F64046"/>
    <w:rsid w:val="00F65B4F"/>
    <w:rsid w:val="00F65D58"/>
    <w:rsid w:val="00F672AB"/>
    <w:rsid w:val="00F7100C"/>
    <w:rsid w:val="00F719DC"/>
    <w:rsid w:val="00F72994"/>
    <w:rsid w:val="00F72D60"/>
    <w:rsid w:val="00F81A8F"/>
    <w:rsid w:val="00F82A58"/>
    <w:rsid w:val="00F84394"/>
    <w:rsid w:val="00F85ACC"/>
    <w:rsid w:val="00F90D92"/>
    <w:rsid w:val="00F950FA"/>
    <w:rsid w:val="00F96B00"/>
    <w:rsid w:val="00FA0CD6"/>
    <w:rsid w:val="00FA1A5D"/>
    <w:rsid w:val="00FA4E2E"/>
    <w:rsid w:val="00FB12A0"/>
    <w:rsid w:val="00FB1690"/>
    <w:rsid w:val="00FB52FD"/>
    <w:rsid w:val="00FB6A9D"/>
    <w:rsid w:val="00FB704D"/>
    <w:rsid w:val="00FC1AFC"/>
    <w:rsid w:val="00FC20A3"/>
    <w:rsid w:val="00FC398B"/>
    <w:rsid w:val="00FC734E"/>
    <w:rsid w:val="00FC7B5D"/>
    <w:rsid w:val="00FD1A02"/>
    <w:rsid w:val="00FE2DEA"/>
    <w:rsid w:val="00FE3E83"/>
    <w:rsid w:val="00FE6AB0"/>
    <w:rsid w:val="00FF00B4"/>
    <w:rsid w:val="00FF2E7E"/>
    <w:rsid w:val="00FF40A7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6C"/>
  </w:style>
  <w:style w:type="paragraph" w:styleId="1">
    <w:name w:val="heading 1"/>
    <w:basedOn w:val="a"/>
    <w:next w:val="a"/>
    <w:link w:val="10"/>
    <w:uiPriority w:val="9"/>
    <w:qFormat/>
    <w:rsid w:val="00B13D7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46D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6D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6D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6D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D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3046D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3046DC"/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3046D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ac">
    <w:name w:val="Название Знак"/>
    <w:basedOn w:val="a0"/>
    <w:link w:val="ad"/>
    <w:uiPriority w:val="10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styleId="ad">
    <w:name w:val="Title"/>
    <w:next w:val="a"/>
    <w:link w:val="ac"/>
    <w:uiPriority w:val="10"/>
    <w:qFormat/>
    <w:rsid w:val="003046D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e">
    <w:name w:val="Подзаголовок Знак"/>
    <w:basedOn w:val="a0"/>
    <w:link w:val="af"/>
    <w:uiPriority w:val="11"/>
    <w:rsid w:val="003046DC"/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paragraph" w:styleId="af">
    <w:name w:val="Subtitle"/>
    <w:next w:val="a"/>
    <w:link w:val="ae"/>
    <w:uiPriority w:val="11"/>
    <w:qFormat/>
    <w:rsid w:val="003046DC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3046DC"/>
    <w:rPr>
      <w:i/>
      <w:iCs/>
      <w:color w:val="5A5A5A" w:themeColor="text1" w:themeTint="A5"/>
      <w:sz w:val="20"/>
      <w:szCs w:val="20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3046DC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af0">
    <w:name w:val="Выделенная цитата Знак"/>
    <w:basedOn w:val="a0"/>
    <w:link w:val="af1"/>
    <w:uiPriority w:val="30"/>
    <w:rsid w:val="003046D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paragraph" w:styleId="af1">
    <w:name w:val="Intense Quote"/>
    <w:basedOn w:val="a"/>
    <w:next w:val="a"/>
    <w:link w:val="af0"/>
    <w:uiPriority w:val="30"/>
    <w:qFormat/>
    <w:rsid w:val="003046D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styleId="af2">
    <w:name w:val="Hyperlink"/>
    <w:basedOn w:val="a0"/>
    <w:uiPriority w:val="99"/>
    <w:semiHidden/>
    <w:unhideWhenUsed/>
    <w:rsid w:val="00BB7A8D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BB7A8D"/>
    <w:rPr>
      <w:color w:val="800080"/>
      <w:u w:val="single"/>
    </w:rPr>
  </w:style>
  <w:style w:type="paragraph" w:customStyle="1" w:styleId="xl65">
    <w:name w:val="xl65"/>
    <w:basedOn w:val="a"/>
    <w:rsid w:val="00BB7A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B7A8D"/>
    <w:pPr>
      <w:pBdr>
        <w:top w:val="single" w:sz="4" w:space="0" w:color="000000"/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B7A8D"/>
    <w:pPr>
      <w:pBdr>
        <w:top w:val="single" w:sz="8" w:space="0" w:color="959595"/>
        <w:left w:val="single" w:sz="8" w:space="0" w:color="959595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B7A8D"/>
    <w:pPr>
      <w:pBdr>
        <w:top w:val="single" w:sz="8" w:space="0" w:color="959595"/>
        <w:left w:val="single" w:sz="8" w:space="0" w:color="959595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BB7A8D"/>
    <w:pPr>
      <w:pBdr>
        <w:top w:val="single" w:sz="8" w:space="0" w:color="959595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BB7A8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BB7A8D"/>
    <w:pPr>
      <w:pBdr>
        <w:top w:val="single" w:sz="8" w:space="0" w:color="95959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B7A8D"/>
    <w:pPr>
      <w:pBdr>
        <w:top w:val="single" w:sz="4" w:space="0" w:color="000000"/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B7A8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B7A8D"/>
    <w:pPr>
      <w:pBdr>
        <w:top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B7A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B7A8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B7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ветлая заливка1"/>
    <w:basedOn w:val="a1"/>
    <w:uiPriority w:val="60"/>
    <w:rsid w:val="00E855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E855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1">
    <w:name w:val="Medium Grid 1 Accent 1"/>
    <w:basedOn w:val="a1"/>
    <w:uiPriority w:val="67"/>
    <w:rsid w:val="00E855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">
    <w:name w:val="Colorful Grid Accent 5"/>
    <w:basedOn w:val="a1"/>
    <w:uiPriority w:val="73"/>
    <w:rsid w:val="00E855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1"/>
    <w:uiPriority w:val="73"/>
    <w:rsid w:val="00E855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2">
    <w:name w:val="Colorful Shading Accent 2"/>
    <w:basedOn w:val="a1"/>
    <w:uiPriority w:val="71"/>
    <w:rsid w:val="00E855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">
    <w:name w:val="Dark List Accent 4"/>
    <w:basedOn w:val="a1"/>
    <w:uiPriority w:val="70"/>
    <w:rsid w:val="00E855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+mn-lt"/>
                <a:cs typeface="Times New Roman" pitchFamily="18" charset="0"/>
              </a:defRPr>
            </a:pPr>
            <a:r>
              <a:rPr lang="ru-RU" sz="11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исполнителя) в 2025 году</a:t>
            </a:r>
            <a:endParaRPr lang="ru-RU" sz="1100" b="1" cap="none" spc="0">
              <a:ln w="1905"/>
              <a:solidFill>
                <a:schemeClr val="tx2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2162697002862725"/>
          <c:y val="0"/>
        </c:manualLayout>
      </c:layout>
      <c:spPr>
        <a:noFill/>
      </c:spPr>
    </c:title>
    <c:plotArea>
      <c:layout>
        <c:manualLayout>
          <c:layoutTarget val="inner"/>
          <c:xMode val="edge"/>
          <c:yMode val="edge"/>
          <c:x val="8.8258108927274467E-2"/>
          <c:y val="0.19696365633772447"/>
          <c:w val="0.38091056549302515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3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explosion val="5"/>
          </c:dPt>
          <c:dPt>
            <c:idx val="2"/>
            <c:explosion val="5"/>
          </c:dPt>
          <c:dLbls>
            <c:dLbl>
              <c:idx val="0"/>
              <c:layout>
                <c:manualLayout>
                  <c:x val="5.0769226203185601E-2"/>
                  <c:y val="-0.1332883471402666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81,4%</a:t>
                    </a:r>
                    <a:endParaRPr lang="en-US" sz="11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-4.0958053362668057E-2"/>
                  <c:y val="9.4633445136561037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2,66</a:t>
                    </a:r>
                    <a:r>
                      <a:rPr lang="en-US" sz="110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2.2797189685083638E-2"/>
                  <c:y val="4.0117155532583874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15,94</a:t>
                    </a:r>
                    <a:r>
                      <a:rPr lang="en-US" sz="110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5.3508409372714852E-2"/>
                  <c:y val="-1.9447708118543641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0,65%</a:t>
                    </a:r>
                    <a:endParaRPr lang="en-US" sz="11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4"/>
              <c:layout>
                <c:manualLayout>
                  <c:x val="5.7440201782553872E-2"/>
                  <c:y val="7.23915073898110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1,06</a:t>
                    </a:r>
                    <a:r>
                      <a:rPr lang="en-US" sz="110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0,03%</a:t>
                    </a:r>
                    <a:endParaRPr lang="en-US" sz="11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6"/>
              <c:layout>
                <c:manualLayout>
                  <c:x val="8.4222120960095764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2,37%</a:t>
                    </a:r>
                    <a:endParaRPr lang="en-US" sz="11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spPr>
              <a:noFill/>
              <a:ln>
                <a:solidFill>
                  <a:schemeClr val="accent1"/>
                </a:solidFill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81.410000000000025</c:v>
                </c:pt>
                <c:pt idx="1">
                  <c:v>2.66</c:v>
                </c:pt>
                <c:pt idx="2">
                  <c:v>15.94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54111002406948994"/>
          <c:y val="0.27404081076339293"/>
          <c:w val="0.41465643764446647"/>
          <c:h val="0.42494428044700405"/>
        </c:manualLayout>
      </c:layout>
      <c:txPr>
        <a:bodyPr/>
        <a:lstStyle/>
        <a:p>
          <a:pPr>
            <a:defRPr sz="11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tx2">
        <a:lumMod val="20000"/>
        <a:lumOff val="80000"/>
      </a:schemeClr>
    </a:solidFill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</a:defRPr>
            </a:pPr>
            <a:r>
              <a:rPr lang="ru-RU" sz="11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</a:rPr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>
        <c:manualLayout>
          <c:xMode val="edge"/>
          <c:yMode val="edge"/>
          <c:x val="9.4432807849189712E-2"/>
          <c:y val="1.409791389726839E-2"/>
        </c:manualLayout>
      </c:layout>
    </c:title>
    <c:plotArea>
      <c:layout>
        <c:manualLayout>
          <c:layoutTarget val="inner"/>
          <c:xMode val="edge"/>
          <c:yMode val="edge"/>
          <c:x val="7.5614643914192023E-2"/>
          <c:y val="0.23144541891613596"/>
          <c:w val="0.54873178086781649"/>
          <c:h val="0.678033701071918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263424518743682E-3"/>
                  <c:y val="1.08401084010841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10 085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4.0526849037487338E-3"/>
                  <c:y val="3.613369467028005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</a:t>
                    </a:r>
                    <a:r>
                      <a:rPr lang="ru-RU" baseline="0"/>
                      <a:t> 063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10085</c:v>
                </c:pt>
                <c:pt idx="1">
                  <c:v>11063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Суммарный 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4108724090009205E-3"/>
                  <c:y val="-2.4250354529232358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/>
                      <a:t>22</a:t>
                    </a:r>
                    <a:r>
                      <a:rPr lang="ru-RU" baseline="0"/>
                      <a:t> 958,93</a:t>
                    </a:r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6.0790769580657232E-3"/>
                  <c:y val="-2.08804535754032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39</a:t>
                    </a:r>
                    <a:r>
                      <a:rPr lang="ru-RU" baseline="0"/>
                      <a:t> 365,61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22958.93</c:v>
                </c:pt>
                <c:pt idx="1">
                  <c:v>39365.61</c:v>
                </c:pt>
              </c:numCache>
            </c:numRef>
          </c:val>
        </c:ser>
        <c:axId val="124798848"/>
        <c:axId val="124823040"/>
      </c:barChart>
      <c:catAx>
        <c:axId val="124798848"/>
        <c:scaling>
          <c:orientation val="minMax"/>
        </c:scaling>
        <c:axPos val="b"/>
        <c:numFmt formatCode="General" sourceLinked="0"/>
        <c:tickLblPos val="nextTo"/>
        <c:crossAx val="124823040"/>
        <c:crosses val="autoZero"/>
        <c:auto val="1"/>
        <c:lblAlgn val="ctr"/>
        <c:lblOffset val="100"/>
      </c:catAx>
      <c:valAx>
        <c:axId val="124823040"/>
        <c:scaling>
          <c:orientation val="minMax"/>
        </c:scaling>
        <c:axPos val="l"/>
        <c:majorGridlines/>
        <c:numFmt formatCode="#,##0" sourceLinked="1"/>
        <c:tickLblPos val="nextTo"/>
        <c:crossAx val="124798848"/>
        <c:crosses val="autoZero"/>
        <c:crossBetween val="between"/>
      </c:valAx>
      <c:spPr>
        <a:solidFill>
          <a:schemeClr val="bg1"/>
        </a:solidFill>
      </c:spPr>
    </c:plotArea>
    <c:legend>
      <c:legendPos val="r"/>
      <c:layout/>
    </c:legend>
    <c:plotVisOnly val="1"/>
    <c:dispBlanksAs val="gap"/>
  </c:chart>
  <c:spPr>
    <a:noFill/>
    <a:ln>
      <a:solidFill>
        <a:schemeClr val="accent1"/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20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200" b="1" cap="none" spc="0">
              <a:ln w="1905"/>
              <a:solidFill>
                <a:schemeClr val="tx2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6.2850705992842384E-2"/>
          <c:y val="2.7886955716081675E-2"/>
        </c:manualLayout>
      </c:layout>
    </c:title>
    <c:plotArea>
      <c:layout>
        <c:manualLayout>
          <c:layoutTarget val="inner"/>
          <c:xMode val="edge"/>
          <c:yMode val="edge"/>
          <c:x val="7.6925569791224349E-2"/>
          <c:y val="0.22672731015630804"/>
          <c:w val="0.55393394415007391"/>
          <c:h val="0.6804118969762742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154335992146004E-3"/>
                  <c:y val="-6.1931005592847548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12 390</a:t>
                    </a:r>
                    <a:endParaRPr lang="en-US" sz="1100"/>
                  </a:p>
                </c:rich>
              </c:tx>
              <c:showVal val="1"/>
            </c:dLbl>
            <c:dLbl>
              <c:idx val="1"/>
              <c:layout>
                <c:manualLayout>
                  <c:x val="0"/>
                  <c:y val="-1.7009510519357181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12 411</a:t>
                    </a:r>
                    <a:endParaRPr lang="en-US" sz="110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12390</c:v>
                </c:pt>
                <c:pt idx="1">
                  <c:v>12411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Суммарный 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1.9023232888049281E-3"/>
                  <c:y val="-1.4249751797356007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22</a:t>
                    </a:r>
                    <a:r>
                      <a:rPr lang="ru-RU" sz="1100" baseline="0">
                        <a:latin typeface="Times New Roman" pitchFamily="18" charset="0"/>
                        <a:cs typeface="Times New Roman" pitchFamily="18" charset="0"/>
                      </a:rPr>
                      <a:t> 146,04</a:t>
                    </a:r>
                    <a:endParaRPr lang="ru-RU" sz="11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2.0076570169021537E-3"/>
                  <c:y val="4.0082992533150034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33</a:t>
                    </a:r>
                    <a:r>
                      <a:rPr lang="ru-RU" sz="1100" baseline="0">
                        <a:latin typeface="Times New Roman" pitchFamily="18" charset="0"/>
                        <a:cs typeface="Times New Roman" pitchFamily="18" charset="0"/>
                      </a:rPr>
                      <a:t> 964,07</a:t>
                    </a:r>
                    <a:endParaRPr lang="en-US" sz="1100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22146.04</c:v>
                </c:pt>
                <c:pt idx="1">
                  <c:v>33964.07</c:v>
                </c:pt>
              </c:numCache>
            </c:numRef>
          </c:val>
        </c:ser>
        <c:axId val="123579008"/>
        <c:axId val="123584896"/>
      </c:barChart>
      <c:catAx>
        <c:axId val="12357900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584896"/>
        <c:crosses val="autoZero"/>
        <c:auto val="1"/>
        <c:lblAlgn val="ctr"/>
        <c:lblOffset val="100"/>
      </c:catAx>
      <c:valAx>
        <c:axId val="1235848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579008"/>
        <c:crosses val="autoZero"/>
        <c:crossBetween val="between"/>
      </c:valAx>
      <c:spPr>
        <a:ln w="3175"/>
      </c:spPr>
    </c:plotArea>
    <c:legend>
      <c:legendPos val="r"/>
      <c:layout>
        <c:manualLayout>
          <c:xMode val="edge"/>
          <c:yMode val="edge"/>
          <c:x val="0.67706245043039859"/>
          <c:y val="0.42184833138884242"/>
          <c:w val="0.310057059556546"/>
          <c:h val="0.30464047830548663"/>
        </c:manualLayout>
      </c:layout>
      <c:txPr>
        <a:bodyPr/>
        <a:lstStyle/>
        <a:p>
          <a:pPr>
            <a:defRPr sz="1200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1"/>
  <c:chart>
    <c:title>
      <c:tx>
        <c:rich>
          <a:bodyPr/>
          <a:lstStyle/>
          <a:p>
            <a:pPr>
              <a:defRPr>
                <a:solidFill>
                  <a:schemeClr val="tx2"/>
                </a:solidFill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solidFill>
                  <a:schemeClr val="tx2"/>
                </a:solidFill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dLbls>
            <c:dLbl>
              <c:idx val="0"/>
              <c:layout>
                <c:manualLayout>
                  <c:x val="1.167939949204402E-2"/>
                  <c:y val="-5.6153532651291114E-3"/>
                </c:manualLayout>
              </c:layout>
              <c:tx>
                <c:rich>
                  <a:bodyPr/>
                  <a:lstStyle/>
                  <a:p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951,49</a:t>
                    </a:r>
                    <a:endParaRPr lang="en-US" sz="14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1.095401916763600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2166,53</a:t>
                    </a:r>
                    <a:endParaRPr lang="en-US" sz="14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951.49</c:v>
                </c:pt>
                <c:pt idx="1">
                  <c:v>2166.5300000000002</c:v>
                </c:pt>
              </c:numCache>
            </c:numRef>
          </c:val>
        </c:ser>
        <c:ser>
          <c:idx val="1"/>
          <c:order val="1"/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Лист1!$D$2:$D$3</c:f>
            </c:numRef>
          </c:val>
        </c:ser>
        <c:overlap val="2"/>
        <c:axId val="123574144"/>
        <c:axId val="123575680"/>
      </c:barChart>
      <c:catAx>
        <c:axId val="12357414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575680"/>
        <c:crosses val="autoZero"/>
        <c:auto val="1"/>
        <c:lblAlgn val="ctr"/>
        <c:lblOffset val="100"/>
      </c:catAx>
      <c:valAx>
        <c:axId val="123575680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574144"/>
        <c:crosses val="autoZero"/>
        <c:crossBetween val="between"/>
      </c:valAx>
      <c:spPr>
        <a:solidFill>
          <a:schemeClr val="accent5">
            <a:lumMod val="40000"/>
            <a:lumOff val="60000"/>
          </a:schemeClr>
        </a:solidFill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A124-CBAD-464B-B4AE-1C1DA5AA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mzak1</cp:lastModifiedBy>
  <cp:revision>2</cp:revision>
  <cp:lastPrinted>2022-04-27T11:51:00Z</cp:lastPrinted>
  <dcterms:created xsi:type="dcterms:W3CDTF">2026-04-28T13:36:00Z</dcterms:created>
  <dcterms:modified xsi:type="dcterms:W3CDTF">2026-04-28T13:36:00Z</dcterms:modified>
</cp:coreProperties>
</file>