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Default="00CC068F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17EE4" w:rsidRDefault="009109F4" w:rsidP="00917EE4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17EE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EE4">
        <w:rPr>
          <w:rFonts w:ascii="Times New Roman" w:hAnsi="Times New Roman" w:cs="Times New Roman"/>
          <w:b/>
          <w:sz w:val="28"/>
          <w:szCs w:val="28"/>
        </w:rPr>
        <w:t xml:space="preserve">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 w:rsidR="00E32379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аконом от 05.04.2013 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и муниципальных нужд» по итогам</w:t>
      </w:r>
      <w:r w:rsidR="00E3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9F4">
        <w:rPr>
          <w:rFonts w:ascii="Times New Roman" w:hAnsi="Times New Roman" w:cs="Times New Roman"/>
          <w:b/>
          <w:sz w:val="28"/>
          <w:szCs w:val="28"/>
        </w:rPr>
        <w:t xml:space="preserve">4 квартала </w:t>
      </w:r>
      <w:r w:rsidR="00E32379">
        <w:rPr>
          <w:rFonts w:ascii="Times New Roman" w:hAnsi="Times New Roman" w:cs="Times New Roman"/>
          <w:b/>
          <w:sz w:val="28"/>
          <w:szCs w:val="28"/>
        </w:rPr>
        <w:t>2019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Курск-2020 год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0" w:rsidRDefault="00056753" w:rsidP="00BE45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723C32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ам</w:t>
      </w:r>
      <w:r w:rsidR="00BE4520" w:rsidRPr="00723C32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</w:t>
      </w:r>
      <w:r w:rsidR="00BE4520">
        <w:rPr>
          <w:rFonts w:ascii="Times New Roman" w:hAnsi="Times New Roman"/>
          <w:sz w:val="28"/>
          <w:szCs w:val="28"/>
        </w:rPr>
        <w:t xml:space="preserve"> нужд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>Курской области</w:t>
      </w:r>
      <w:r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>
        <w:rPr>
          <w:rFonts w:ascii="Times New Roman" w:hAnsi="Times New Roman"/>
          <w:sz w:val="28"/>
          <w:szCs w:val="28"/>
        </w:rPr>
        <w:t xml:space="preserve"> за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 xml:space="preserve">4 квартал </w:t>
      </w:r>
      <w:r w:rsidR="00BE4520" w:rsidRPr="00723C32">
        <w:rPr>
          <w:rFonts w:ascii="Times New Roman" w:hAnsi="Times New Roman"/>
          <w:sz w:val="28"/>
          <w:szCs w:val="28"/>
        </w:rPr>
        <w:t>201</w:t>
      </w:r>
      <w:r w:rsidR="00BE4520">
        <w:rPr>
          <w:rFonts w:ascii="Times New Roman" w:hAnsi="Times New Roman"/>
          <w:sz w:val="28"/>
          <w:szCs w:val="28"/>
        </w:rPr>
        <w:t>9</w:t>
      </w:r>
      <w:r w:rsidR="00BE4520" w:rsidRPr="00723C32">
        <w:rPr>
          <w:rFonts w:ascii="Times New Roman" w:hAnsi="Times New Roman"/>
          <w:sz w:val="28"/>
          <w:szCs w:val="28"/>
        </w:rPr>
        <w:t xml:space="preserve"> год</w:t>
      </w:r>
      <w:r w:rsidR="00BE4520">
        <w:rPr>
          <w:rFonts w:ascii="Times New Roman" w:hAnsi="Times New Roman"/>
          <w:sz w:val="28"/>
          <w:szCs w:val="28"/>
        </w:rPr>
        <w:t>а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 xml:space="preserve">подготовлен комитетом по управлению имуществом Курской области </w:t>
      </w:r>
      <w:r w:rsidR="00BE4520" w:rsidRPr="00723C32">
        <w:rPr>
          <w:rFonts w:ascii="Times New Roman" w:hAnsi="Times New Roman"/>
          <w:sz w:val="28"/>
          <w:szCs w:val="28"/>
        </w:rPr>
        <w:t>в соответствии со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закона от 5 апреля 2013 года  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</w:t>
      </w:r>
      <w:r w:rsidR="00BE4520">
        <w:rPr>
          <w:rFonts w:ascii="Times New Roman" w:hAnsi="Times New Roman"/>
          <w:color w:val="000000"/>
          <w:sz w:val="28"/>
          <w:szCs w:val="28"/>
        </w:rPr>
        <w:t>муниципальных нужд» (далее – Федеральный закон № 44-Ф</w:t>
      </w:r>
      <w:r w:rsidR="00BE4520" w:rsidRPr="00FB18B6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BE4520" w:rsidRPr="00FB18B6">
        <w:rPr>
          <w:rFonts w:ascii="Times New Roman" w:hAnsi="Times New Roman"/>
          <w:color w:val="000000"/>
          <w:sz w:val="28"/>
          <w:szCs w:val="28"/>
        </w:rPr>
        <w:t>)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FB18B6">
        <w:rPr>
          <w:rFonts w:ascii="Times New Roman" w:hAnsi="Times New Roman"/>
          <w:sz w:val="28"/>
          <w:szCs w:val="28"/>
        </w:rPr>
        <w:t>.</w:t>
      </w:r>
    </w:p>
    <w:p w:rsidR="00BE4520" w:rsidRDefault="00BE4520" w:rsidP="00BE45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C32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подготовлен на основании информации, полученной из </w:t>
      </w:r>
      <w:r w:rsidRPr="004D316C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</w:t>
      </w:r>
      <w:r>
        <w:rPr>
          <w:rFonts w:ascii="Times New Roman" w:hAnsi="Times New Roman"/>
          <w:color w:val="000000" w:themeColor="text1"/>
          <w:sz w:val="28"/>
          <w:szCs w:val="28"/>
        </w:rPr>
        <w:t>ЕИС</w:t>
      </w:r>
      <w:r w:rsidRPr="004D316C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130F1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</w:t>
      </w:r>
      <w:r>
        <w:rPr>
          <w:rFonts w:ascii="Times New Roman" w:hAnsi="Times New Roman"/>
          <w:sz w:val="28"/>
          <w:szCs w:val="28"/>
        </w:rPr>
        <w:t>еспечения нужд Курской области «Торги Курской области»</w:t>
      </w:r>
      <w:r w:rsidRPr="002130F1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13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 «Торги Курской области»).</w:t>
      </w:r>
      <w:proofErr w:type="gramEnd"/>
    </w:p>
    <w:p w:rsidR="00BE4520" w:rsidRDefault="00BE4520" w:rsidP="00556B2E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Default="005D3C88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5D3C88" w:rsidRDefault="005D3C88" w:rsidP="00556B2E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D18BC" w:rsidRDefault="00B91C93" w:rsidP="00906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18BC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в 4 квартале 2019 года размещено 4 </w:t>
      </w:r>
      <w:r w:rsidR="003431D4">
        <w:rPr>
          <w:rFonts w:ascii="Times New Roman" w:hAnsi="Times New Roman" w:cs="Times New Roman"/>
          <w:sz w:val="28"/>
          <w:szCs w:val="28"/>
        </w:rPr>
        <w:t>226 извещений на сумму 5 115,26</w:t>
      </w:r>
      <w:r w:rsidR="00ED18BC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82084">
        <w:rPr>
          <w:rFonts w:ascii="Times New Roman" w:hAnsi="Times New Roman" w:cs="Times New Roman"/>
          <w:sz w:val="28"/>
          <w:szCs w:val="28"/>
        </w:rPr>
        <w:t>,</w:t>
      </w:r>
      <w:r w:rsidR="00ED18BC">
        <w:rPr>
          <w:rFonts w:ascii="Times New Roman" w:hAnsi="Times New Roman" w:cs="Times New Roman"/>
          <w:sz w:val="28"/>
          <w:szCs w:val="28"/>
        </w:rPr>
        <w:t xml:space="preserve"> из них отменено 108 извещений на сумму  330,43 млн. руб.</w:t>
      </w:r>
    </w:p>
    <w:p w:rsidR="00556B2E" w:rsidRDefault="00556B2E" w:rsidP="00556B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1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квартале </w:t>
      </w:r>
      <w:r w:rsidRPr="00B418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4187D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>
        <w:rPr>
          <w:rFonts w:ascii="Times New Roman" w:hAnsi="Times New Roman" w:cs="Times New Roman"/>
          <w:sz w:val="28"/>
          <w:szCs w:val="28"/>
        </w:rPr>
        <w:t>а</w:t>
      </w:r>
      <w:r w:rsidRPr="00B4187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открытый конкурс, конкурс с ограниченным участием,  </w:t>
      </w:r>
      <w:r w:rsidR="008670AE">
        <w:rPr>
          <w:rFonts w:ascii="Times New Roman" w:hAnsi="Times New Roman" w:cs="Times New Roman"/>
          <w:sz w:val="28"/>
          <w:szCs w:val="28"/>
        </w:rPr>
        <w:t>электронный аукцион</w:t>
      </w:r>
      <w:r w:rsidRPr="00B41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7D">
        <w:rPr>
          <w:rFonts w:ascii="Times New Roman" w:hAnsi="Times New Roman" w:cs="Times New Roman"/>
          <w:sz w:val="28"/>
          <w:szCs w:val="28"/>
        </w:rPr>
        <w:t xml:space="preserve"> запрос котировок</w:t>
      </w:r>
      <w:r w:rsidR="008670A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, запрос предложений</w:t>
      </w:r>
      <w:r w:rsidR="008670A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,  открытый конкурс в электронной форме, закупка у единственного поставщика (подрядчика, исполнителя).</w:t>
      </w:r>
      <w:r w:rsidRPr="00B41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2E" w:rsidRDefault="00556B2E" w:rsidP="00556B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Конкурентные способы определения поставщика (подрядчика, исполнителя) в большинстве случаев</w:t>
      </w:r>
      <w:r w:rsidRPr="00B4187D">
        <w:rPr>
          <w:rFonts w:ascii="Times New Roman" w:hAnsi="Times New Roman" w:cs="Times New Roman"/>
          <w:sz w:val="28"/>
          <w:szCs w:val="28"/>
        </w:rPr>
        <w:t xml:space="preserve"> проводились на площадке электронных </w:t>
      </w:r>
      <w:r w:rsidRPr="000C7BD2">
        <w:rPr>
          <w:rFonts w:ascii="Times New Roman" w:hAnsi="Times New Roman" w:cs="Times New Roman"/>
          <w:sz w:val="28"/>
          <w:szCs w:val="28"/>
        </w:rPr>
        <w:t>торгов ОАО «ЕЭТП», реже - на «</w:t>
      </w:r>
      <w:proofErr w:type="spellStart"/>
      <w:r w:rsidRPr="000C7BD2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«РТС-тендер», АО «ТЭК-Торг».</w:t>
      </w:r>
    </w:p>
    <w:p w:rsidR="00144BAA" w:rsidRPr="00906644" w:rsidRDefault="00144BAA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644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906644" w:rsidRDefault="00144BAA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644">
        <w:rPr>
          <w:rFonts w:ascii="Times New Roman" w:hAnsi="Times New Roman" w:cs="Times New Roman"/>
          <w:sz w:val="28"/>
          <w:szCs w:val="28"/>
        </w:rPr>
        <w:t xml:space="preserve"> 3 940 извещений общим объемом 4 805,23 млн. руб. (93,93%  от общего объема извещений) было размещено путем проведения аукциона в электронной форме;</w:t>
      </w:r>
    </w:p>
    <w:p w:rsidR="00144BAA" w:rsidRPr="00906644" w:rsidRDefault="00144BAA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644">
        <w:rPr>
          <w:rFonts w:ascii="Times New Roman" w:hAnsi="Times New Roman" w:cs="Times New Roman"/>
          <w:sz w:val="28"/>
          <w:szCs w:val="28"/>
        </w:rPr>
        <w:t>41 извещение общим объемом 196,88 млн. руб. (3,85% от общего объема извещений)  было размещено путем проведения конкурс</w:t>
      </w:r>
      <w:r w:rsidR="00906644" w:rsidRPr="00906644">
        <w:rPr>
          <w:rFonts w:ascii="Times New Roman" w:hAnsi="Times New Roman" w:cs="Times New Roman"/>
          <w:sz w:val="28"/>
          <w:szCs w:val="28"/>
        </w:rPr>
        <w:t>ов (открытый конкурс в электронной форме, конкурс с ограниченным участием в электронной форме, открытый конкурс)</w:t>
      </w:r>
      <w:r w:rsidRPr="00906644">
        <w:rPr>
          <w:rFonts w:ascii="Times New Roman" w:hAnsi="Times New Roman" w:cs="Times New Roman"/>
          <w:sz w:val="28"/>
          <w:szCs w:val="28"/>
        </w:rPr>
        <w:t>;</w:t>
      </w:r>
    </w:p>
    <w:p w:rsidR="00906644" w:rsidRDefault="00906644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</w:t>
      </w:r>
      <w:r w:rsidRPr="00906644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 xml:space="preserve">29,56 </w:t>
      </w:r>
      <w:r w:rsidRPr="00906644">
        <w:rPr>
          <w:rFonts w:ascii="Times New Roman" w:hAnsi="Times New Roman" w:cs="Times New Roman"/>
          <w:sz w:val="28"/>
          <w:szCs w:val="28"/>
        </w:rPr>
        <w:t>млн. руб. (</w:t>
      </w:r>
      <w:r>
        <w:rPr>
          <w:rFonts w:ascii="Times New Roman" w:hAnsi="Times New Roman" w:cs="Times New Roman"/>
          <w:sz w:val="28"/>
          <w:szCs w:val="28"/>
        </w:rPr>
        <w:t>0,58</w:t>
      </w:r>
      <w:r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Pr="00906644">
        <w:rPr>
          <w:rFonts w:ascii="Times New Roman" w:hAnsi="Times New Roman" w:cs="Times New Roman"/>
          <w:sz w:val="28"/>
          <w:szCs w:val="28"/>
        </w:rPr>
        <w:t>;</w:t>
      </w:r>
    </w:p>
    <w:p w:rsidR="00906644" w:rsidRDefault="00906644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06644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0,32</w:t>
      </w:r>
      <w:r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>
        <w:rPr>
          <w:rFonts w:ascii="Times New Roman" w:hAnsi="Times New Roman" w:cs="Times New Roman"/>
          <w:sz w:val="28"/>
          <w:szCs w:val="28"/>
        </w:rPr>
        <w:t>0,01</w:t>
      </w:r>
      <w:r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>
        <w:rPr>
          <w:rFonts w:ascii="Times New Roman" w:hAnsi="Times New Roman" w:cs="Times New Roman"/>
          <w:sz w:val="28"/>
          <w:szCs w:val="28"/>
        </w:rPr>
        <w:t>запроса предложений в электронной форме;</w:t>
      </w:r>
    </w:p>
    <w:p w:rsidR="00906644" w:rsidRPr="00906644" w:rsidRDefault="00906644" w:rsidP="00906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извещений общим объемом 83,90 млн. руб. (1,64% от общего объема извещений)</w:t>
      </w:r>
      <w:r w:rsidR="00F60EC8">
        <w:rPr>
          <w:rFonts w:ascii="Times New Roman" w:hAnsi="Times New Roman" w:cs="Times New Roman"/>
          <w:sz w:val="28"/>
          <w:szCs w:val="28"/>
        </w:rPr>
        <w:t xml:space="preserve"> было размещено у единственного поставщика (подрядчика, исполнителя).</w:t>
      </w:r>
    </w:p>
    <w:p w:rsidR="00ED18BC" w:rsidRPr="003F5E9B" w:rsidRDefault="00ED18BC" w:rsidP="00906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E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F5E9B">
        <w:rPr>
          <w:rFonts w:ascii="Times New Roman" w:hAnsi="Times New Roman" w:cs="Times New Roman"/>
          <w:b/>
          <w:sz w:val="28"/>
          <w:szCs w:val="28"/>
        </w:rPr>
        <w:t>.</w:t>
      </w:r>
      <w:r w:rsidR="007F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7F43D2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</w:t>
      </w:r>
      <w:r w:rsidR="007F43D2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</w:t>
      </w:r>
    </w:p>
    <w:p w:rsidR="00ED18BC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2019 года</w:t>
            </w:r>
          </w:p>
        </w:tc>
      </w:tr>
      <w:tr w:rsidR="00ED18BC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Tr="00236AD9">
        <w:tc>
          <w:tcPr>
            <w:tcW w:w="5211" w:type="dxa"/>
          </w:tcPr>
          <w:p w:rsidR="00ED18BC" w:rsidRPr="00EF67A3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3 940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4 805,23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324,05</w:t>
            </w:r>
          </w:p>
        </w:tc>
      </w:tr>
      <w:tr w:rsidR="00ED18BC" w:rsidTr="00236AD9">
        <w:tc>
          <w:tcPr>
            <w:tcW w:w="5211" w:type="dxa"/>
          </w:tcPr>
          <w:p w:rsidR="00ED18BC" w:rsidRPr="00EF67A3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25,07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</w:tr>
      <w:tr w:rsidR="00ED18BC" w:rsidTr="00236AD9">
        <w:tc>
          <w:tcPr>
            <w:tcW w:w="5211" w:type="dxa"/>
          </w:tcPr>
          <w:p w:rsidR="00ED18BC" w:rsidRPr="00937C7C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37C7C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ED18BC" w:rsidRPr="00937C7C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171,12</w:t>
            </w:r>
          </w:p>
        </w:tc>
      </w:tr>
      <w:tr w:rsidR="00ED18BC" w:rsidTr="00236AD9">
        <w:tc>
          <w:tcPr>
            <w:tcW w:w="5211" w:type="dxa"/>
          </w:tcPr>
          <w:p w:rsidR="00ED18BC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Tr="00236AD9">
        <w:tc>
          <w:tcPr>
            <w:tcW w:w="5211" w:type="dxa"/>
          </w:tcPr>
          <w:p w:rsidR="00ED18BC" w:rsidRPr="00937C7C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37C7C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ED18BC" w:rsidRPr="00937C7C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0,32</w:t>
            </w:r>
          </w:p>
        </w:tc>
      </w:tr>
      <w:tr w:rsidR="00ED18BC" w:rsidTr="00236AD9">
        <w:tc>
          <w:tcPr>
            <w:tcW w:w="5211" w:type="dxa"/>
          </w:tcPr>
          <w:p w:rsidR="00ED18BC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Tr="00236AD9">
        <w:tc>
          <w:tcPr>
            <w:tcW w:w="5211" w:type="dxa"/>
          </w:tcPr>
          <w:p w:rsidR="00ED18BC" w:rsidRPr="00937C7C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37C7C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232" w:type="dxa"/>
            <w:vAlign w:val="center"/>
          </w:tcPr>
          <w:p w:rsidR="00ED18BC" w:rsidRPr="00937C7C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29,56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Tr="00236AD9">
        <w:tc>
          <w:tcPr>
            <w:tcW w:w="5211" w:type="dxa"/>
          </w:tcPr>
          <w:p w:rsidR="00ED18BC" w:rsidRPr="00611E9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  <w:tc>
          <w:tcPr>
            <w:tcW w:w="2694" w:type="dxa"/>
            <w:vAlign w:val="center"/>
          </w:tcPr>
          <w:p w:rsidR="00ED18BC" w:rsidRPr="00611E9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611E9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ED18B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1D3B" w:rsidTr="00236AD9">
        <w:tc>
          <w:tcPr>
            <w:tcW w:w="5211" w:type="dxa"/>
          </w:tcPr>
          <w:p w:rsidR="00C71D3B" w:rsidRPr="00C71D3B" w:rsidRDefault="00C71D3B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3B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C71D3B" w:rsidRPr="00C71D3B" w:rsidRDefault="00C71D3B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center"/>
          </w:tcPr>
          <w:p w:rsidR="00C71D3B" w:rsidRPr="00C71D3B" w:rsidRDefault="00C71D3B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3B">
              <w:rPr>
                <w:rFonts w:ascii="Times New Roman" w:hAnsi="Times New Roman" w:cs="Times New Roman"/>
                <w:b/>
                <w:sz w:val="24"/>
                <w:szCs w:val="24"/>
              </w:rPr>
              <w:t>83,90</w:t>
            </w:r>
          </w:p>
        </w:tc>
      </w:tr>
      <w:tr w:rsidR="00ED18BC" w:rsidTr="00236AD9">
        <w:tc>
          <w:tcPr>
            <w:tcW w:w="5211" w:type="dxa"/>
          </w:tcPr>
          <w:p w:rsidR="00ED18BC" w:rsidRPr="00611E9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611E94" w:rsidRDefault="00ED18BC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C71D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  <w:vAlign w:val="center"/>
          </w:tcPr>
          <w:p w:rsidR="00ED18BC" w:rsidRPr="00611E94" w:rsidRDefault="003431D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5 115,26</w:t>
            </w:r>
          </w:p>
        </w:tc>
      </w:tr>
      <w:tr w:rsidR="00ED18BC" w:rsidTr="00236AD9">
        <w:tc>
          <w:tcPr>
            <w:tcW w:w="5211" w:type="dxa"/>
          </w:tcPr>
          <w:p w:rsidR="00ED18BC" w:rsidRPr="00611E9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611E9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32" w:type="dxa"/>
            <w:vAlign w:val="center"/>
          </w:tcPr>
          <w:p w:rsidR="00ED18BC" w:rsidRPr="00611E9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330,43</w:t>
            </w:r>
          </w:p>
        </w:tc>
      </w:tr>
    </w:tbl>
    <w:p w:rsidR="00ED18BC" w:rsidRDefault="00ED18BC" w:rsidP="00556B2E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B2E" w:rsidRDefault="00ED18BC" w:rsidP="00556B2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27E3">
        <w:rPr>
          <w:rFonts w:ascii="Times New Roman" w:hAnsi="Times New Roman" w:cs="Times New Roman"/>
          <w:sz w:val="28"/>
          <w:szCs w:val="28"/>
        </w:rPr>
        <w:t>Самым распространенным</w:t>
      </w:r>
      <w:r>
        <w:rPr>
          <w:rFonts w:ascii="Times New Roman" w:hAnsi="Times New Roman" w:cs="Times New Roman"/>
          <w:sz w:val="28"/>
          <w:szCs w:val="28"/>
        </w:rPr>
        <w:t xml:space="preserve"> конкурентным способом определения поставщиков (подрядчиков, исполнителей)</w:t>
      </w:r>
      <w:r w:rsidRPr="001727E3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>
        <w:rPr>
          <w:rFonts w:ascii="Times New Roman" w:hAnsi="Times New Roman" w:cs="Times New Roman"/>
          <w:sz w:val="28"/>
          <w:szCs w:val="28"/>
        </w:rPr>
        <w:t xml:space="preserve">является электронный аукцион. </w:t>
      </w:r>
      <w:r w:rsidR="00556B2E">
        <w:rPr>
          <w:rFonts w:ascii="Times New Roman" w:hAnsi="Times New Roman" w:cs="Times New Roman"/>
          <w:sz w:val="28"/>
          <w:szCs w:val="28"/>
        </w:rPr>
        <w:t>Количество</w:t>
      </w:r>
      <w:r w:rsidRPr="001727E3">
        <w:rPr>
          <w:rFonts w:ascii="Times New Roman" w:hAnsi="Times New Roman" w:cs="Times New Roman"/>
          <w:sz w:val="28"/>
          <w:szCs w:val="28"/>
        </w:rPr>
        <w:t xml:space="preserve"> размещенных извещений о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27E3">
        <w:rPr>
          <w:rFonts w:ascii="Times New Roman" w:hAnsi="Times New Roman" w:cs="Times New Roman"/>
          <w:sz w:val="28"/>
          <w:szCs w:val="28"/>
        </w:rPr>
        <w:t xml:space="preserve"> электронных аукционов</w:t>
      </w:r>
      <w:r w:rsidR="00556B2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F613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6B2E">
        <w:rPr>
          <w:rFonts w:ascii="Times New Roman" w:hAnsi="Times New Roman" w:cs="Times New Roman"/>
          <w:sz w:val="28"/>
          <w:szCs w:val="28"/>
        </w:rPr>
        <w:t>2</w:t>
      </w:r>
      <w:r w:rsidR="00F613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556B2E">
        <w:rPr>
          <w:rFonts w:ascii="Times New Roman" w:hAnsi="Times New Roman" w:cs="Times New Roman"/>
          <w:sz w:val="28"/>
          <w:szCs w:val="28"/>
        </w:rPr>
        <w:t xml:space="preserve"> размещенных в ЕИС </w:t>
      </w:r>
      <w:r w:rsidRPr="001727E3">
        <w:rPr>
          <w:rFonts w:ascii="Times New Roman" w:hAnsi="Times New Roman" w:cs="Times New Roman"/>
          <w:sz w:val="28"/>
          <w:szCs w:val="28"/>
        </w:rPr>
        <w:t>извещений.</w:t>
      </w:r>
    </w:p>
    <w:p w:rsidR="00D85FC5" w:rsidRDefault="00D85FC5" w:rsidP="0055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F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9510" cy="3705225"/>
            <wp:effectExtent l="57150" t="19050" r="4699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E44" w:rsidRDefault="00546E44" w:rsidP="00ED18B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2018 года</w:t>
      </w:r>
      <w:r w:rsidR="00D85FC5">
        <w:rPr>
          <w:rFonts w:ascii="Times New Roman" w:hAnsi="Times New Roman" w:cs="Times New Roman"/>
          <w:sz w:val="28"/>
          <w:szCs w:val="28"/>
        </w:rPr>
        <w:t xml:space="preserve"> 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размещенных извещений увеличилось на </w:t>
      </w:r>
      <w:r w:rsidR="00873B1B">
        <w:rPr>
          <w:rFonts w:ascii="Times New Roman" w:hAnsi="Times New Roman" w:cs="Times New Roman"/>
          <w:sz w:val="28"/>
          <w:szCs w:val="28"/>
        </w:rPr>
        <w:t>1 056</w:t>
      </w:r>
      <w:r>
        <w:rPr>
          <w:rFonts w:ascii="Times New Roman" w:hAnsi="Times New Roman" w:cs="Times New Roman"/>
          <w:sz w:val="28"/>
          <w:szCs w:val="28"/>
        </w:rPr>
        <w:t xml:space="preserve"> шт. (3</w:t>
      </w:r>
      <w:r w:rsidR="00873B1B">
        <w:rPr>
          <w:rFonts w:ascii="Times New Roman" w:hAnsi="Times New Roman" w:cs="Times New Roman"/>
          <w:sz w:val="28"/>
          <w:szCs w:val="28"/>
        </w:rPr>
        <w:t>3,31</w:t>
      </w:r>
      <w:r>
        <w:rPr>
          <w:rFonts w:ascii="Times New Roman" w:hAnsi="Times New Roman" w:cs="Times New Roman"/>
          <w:sz w:val="28"/>
          <w:szCs w:val="28"/>
        </w:rPr>
        <w:t>%), объем разме</w:t>
      </w:r>
      <w:r w:rsidR="00A96A14">
        <w:rPr>
          <w:rFonts w:ascii="Times New Roman" w:hAnsi="Times New Roman" w:cs="Times New Roman"/>
          <w:sz w:val="28"/>
          <w:szCs w:val="28"/>
        </w:rPr>
        <w:t>щенных извещений увеличился на 3</w:t>
      </w:r>
      <w:r w:rsidR="00873B1B">
        <w:rPr>
          <w:rFonts w:ascii="Times New Roman" w:hAnsi="Times New Roman" w:cs="Times New Roman"/>
          <w:sz w:val="28"/>
          <w:szCs w:val="28"/>
        </w:rPr>
        <w:t> </w:t>
      </w:r>
      <w:r w:rsidR="00A96A14">
        <w:rPr>
          <w:rFonts w:ascii="Times New Roman" w:hAnsi="Times New Roman" w:cs="Times New Roman"/>
          <w:sz w:val="28"/>
          <w:szCs w:val="28"/>
        </w:rPr>
        <w:t>0</w:t>
      </w:r>
      <w:r w:rsidR="00873B1B">
        <w:rPr>
          <w:rFonts w:ascii="Times New Roman" w:hAnsi="Times New Roman" w:cs="Times New Roman"/>
          <w:sz w:val="28"/>
          <w:szCs w:val="28"/>
        </w:rPr>
        <w:t>19,61 млн. руб. (144,09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546E44" w:rsidRDefault="00546E44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Default="00546E44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5528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068F" w:rsidRDefault="00CC068F" w:rsidP="005D3C88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ED18BC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B74">
        <w:rPr>
          <w:rFonts w:ascii="Times New Roman" w:hAnsi="Times New Roman" w:cs="Times New Roman"/>
          <w:sz w:val="28"/>
          <w:szCs w:val="28"/>
        </w:rPr>
        <w:t>Из общего количества размещенных государственными заказчиками Курской области закупок признаны несостоявшимися 1</w:t>
      </w:r>
      <w:r w:rsidR="00EC3D53">
        <w:rPr>
          <w:rFonts w:ascii="Times New Roman" w:hAnsi="Times New Roman" w:cs="Times New Roman"/>
          <w:sz w:val="28"/>
          <w:szCs w:val="28"/>
        </w:rPr>
        <w:t xml:space="preserve"> </w:t>
      </w:r>
      <w:r w:rsidR="00BB1B74">
        <w:rPr>
          <w:rFonts w:ascii="Times New Roman" w:hAnsi="Times New Roman" w:cs="Times New Roman"/>
          <w:sz w:val="28"/>
          <w:szCs w:val="28"/>
        </w:rPr>
        <w:t>914 процедур, что составляет 46,39% от общего количества</w:t>
      </w:r>
      <w:r w:rsidR="00EC3D53">
        <w:rPr>
          <w:rFonts w:ascii="Times New Roman" w:hAnsi="Times New Roman" w:cs="Times New Roman"/>
          <w:sz w:val="28"/>
          <w:szCs w:val="28"/>
        </w:rPr>
        <w:t xml:space="preserve"> размещенных закупок</w:t>
      </w:r>
      <w:r w:rsidR="00BB1B74">
        <w:rPr>
          <w:rFonts w:ascii="Times New Roman" w:hAnsi="Times New Roman" w:cs="Times New Roman"/>
          <w:sz w:val="28"/>
          <w:szCs w:val="28"/>
        </w:rPr>
        <w:t>. Основной причиной признания процедуры закупки несостоявшейся является подача одной заявки для участия в процедуре закупки (6</w:t>
      </w:r>
      <w:r w:rsidR="00E52475">
        <w:rPr>
          <w:rFonts w:ascii="Times New Roman" w:hAnsi="Times New Roman" w:cs="Times New Roman"/>
          <w:sz w:val="28"/>
          <w:szCs w:val="28"/>
        </w:rPr>
        <w:t>6,</w:t>
      </w:r>
      <w:r w:rsidR="00836EEB">
        <w:rPr>
          <w:rFonts w:ascii="Times New Roman" w:hAnsi="Times New Roman" w:cs="Times New Roman"/>
          <w:sz w:val="28"/>
          <w:szCs w:val="28"/>
        </w:rPr>
        <w:t>76</w:t>
      </w:r>
      <w:r w:rsidR="00BB1B74">
        <w:rPr>
          <w:rFonts w:ascii="Times New Roman" w:hAnsi="Times New Roman" w:cs="Times New Roman"/>
          <w:sz w:val="28"/>
          <w:szCs w:val="28"/>
        </w:rPr>
        <w:t>%).</w:t>
      </w:r>
    </w:p>
    <w:p w:rsidR="00BB1B74" w:rsidRDefault="00BB1B74" w:rsidP="0038208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Pr="005D62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3C7">
        <w:rPr>
          <w:rFonts w:ascii="Times New Roman" w:hAnsi="Times New Roman" w:cs="Times New Roman"/>
          <w:sz w:val="28"/>
          <w:szCs w:val="28"/>
        </w:rPr>
        <w:t>ричины признания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(подрядчика, исполнителя) </w:t>
      </w:r>
      <w:r w:rsidRPr="00055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3C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BB1B74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2135"/>
        <w:gridCol w:w="1851"/>
        <w:gridCol w:w="2042"/>
      </w:tblGrid>
      <w:tr w:rsidR="00E52475" w:rsidTr="00F64046"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35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851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42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кол-ве закупок, %</w:t>
            </w:r>
          </w:p>
        </w:tc>
      </w:tr>
      <w:tr w:rsidR="00E52475" w:rsidTr="00836EEB">
        <w:trPr>
          <w:trHeight w:val="280"/>
        </w:trPr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Допущена одна заявка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51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2042" w:type="dxa"/>
            <w:vAlign w:val="center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2,93%</w:t>
            </w:r>
          </w:p>
        </w:tc>
      </w:tr>
      <w:tr w:rsidR="00E52475" w:rsidTr="00836EEB">
        <w:trPr>
          <w:trHeight w:val="255"/>
        </w:trPr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1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  <w:tc>
          <w:tcPr>
            <w:tcW w:w="2042" w:type="dxa"/>
            <w:vAlign w:val="center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1,46%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851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172,34</w:t>
            </w:r>
          </w:p>
        </w:tc>
        <w:tc>
          <w:tcPr>
            <w:tcW w:w="2042" w:type="dxa"/>
            <w:vAlign w:val="center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19,23%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Отсутствие участников 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1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116,01</w:t>
            </w:r>
          </w:p>
        </w:tc>
        <w:tc>
          <w:tcPr>
            <w:tcW w:w="2042" w:type="dxa"/>
            <w:vAlign w:val="center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1,31%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1 278</w:t>
            </w:r>
          </w:p>
        </w:tc>
        <w:tc>
          <w:tcPr>
            <w:tcW w:w="1851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2 532,00</w:t>
            </w:r>
          </w:p>
        </w:tc>
        <w:tc>
          <w:tcPr>
            <w:tcW w:w="2042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66,76%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ценовое предложение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51" w:type="dxa"/>
            <w:vAlign w:val="center"/>
          </w:tcPr>
          <w:p w:rsidR="00E52475" w:rsidRPr="00D46780" w:rsidRDefault="00836EEB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220,67</w:t>
            </w:r>
          </w:p>
        </w:tc>
        <w:tc>
          <w:tcPr>
            <w:tcW w:w="2042" w:type="dxa"/>
            <w:vAlign w:val="center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sz w:val="24"/>
                <w:szCs w:val="24"/>
              </w:rPr>
              <w:t>8,31%</w:t>
            </w:r>
          </w:p>
        </w:tc>
      </w:tr>
      <w:tr w:rsidR="00E52475" w:rsidTr="00E52475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35" w:type="dxa"/>
            <w:vAlign w:val="center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1 914</w:t>
            </w:r>
          </w:p>
        </w:tc>
        <w:tc>
          <w:tcPr>
            <w:tcW w:w="1851" w:type="dxa"/>
          </w:tcPr>
          <w:p w:rsidR="00E52475" w:rsidRPr="00D46780" w:rsidRDefault="00836EEB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3 088,64</w:t>
            </w:r>
          </w:p>
        </w:tc>
        <w:tc>
          <w:tcPr>
            <w:tcW w:w="2042" w:type="dxa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524342" w:rsidRDefault="00524342" w:rsidP="00524342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24342" w:rsidRDefault="00BB1B7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43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квартале 2019 года по всем объявленным государственными заказчиками Курской области закупочным процедурам  было подано </w:t>
      </w:r>
      <w:r w:rsidR="00524342">
        <w:rPr>
          <w:rFonts w:ascii="Times New Roman" w:hAnsi="Times New Roman" w:cs="Times New Roman"/>
          <w:sz w:val="28"/>
          <w:szCs w:val="28"/>
        </w:rPr>
        <w:t xml:space="preserve">                    10 308 </w:t>
      </w:r>
      <w:r w:rsidR="00382084">
        <w:rPr>
          <w:rFonts w:ascii="Times New Roman" w:hAnsi="Times New Roman" w:cs="Times New Roman"/>
          <w:sz w:val="28"/>
          <w:szCs w:val="28"/>
        </w:rPr>
        <w:t>заявок, из них допущено 9 949 заявок (96,52 %).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B74" w:rsidRDefault="00BB1B7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процедур закупок, по которым подано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одной заявки составило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342">
        <w:rPr>
          <w:rFonts w:ascii="Times New Roman" w:hAnsi="Times New Roman" w:cs="Times New Roman"/>
          <w:sz w:val="28"/>
          <w:szCs w:val="28"/>
        </w:rPr>
        <w:t>2 306</w:t>
      </w:r>
      <w:r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>
        <w:rPr>
          <w:rFonts w:ascii="Times New Roman" w:hAnsi="Times New Roman" w:cs="Times New Roman"/>
          <w:sz w:val="28"/>
          <w:szCs w:val="28"/>
        </w:rPr>
        <w:t>(</w:t>
      </w:r>
      <w:r w:rsidR="007E2724">
        <w:rPr>
          <w:rFonts w:ascii="Times New Roman" w:hAnsi="Times New Roman" w:cs="Times New Roman"/>
          <w:sz w:val="28"/>
          <w:szCs w:val="28"/>
        </w:rPr>
        <w:t>55,89</w:t>
      </w:r>
      <w:r w:rsidR="00382084">
        <w:rPr>
          <w:rFonts w:ascii="Times New Roman" w:hAnsi="Times New Roman" w:cs="Times New Roman"/>
          <w:sz w:val="28"/>
          <w:szCs w:val="28"/>
        </w:rPr>
        <w:t xml:space="preserve"> %) </w:t>
      </w:r>
      <w:r>
        <w:rPr>
          <w:rFonts w:ascii="Times New Roman" w:hAnsi="Times New Roman" w:cs="Times New Roman"/>
          <w:sz w:val="28"/>
          <w:szCs w:val="28"/>
        </w:rPr>
        <w:t>от общего числа размещенных процедур.</w:t>
      </w:r>
    </w:p>
    <w:p w:rsidR="00D46780" w:rsidRDefault="00F6130D" w:rsidP="009C0E24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4691">
        <w:rPr>
          <w:rFonts w:ascii="Times New Roman" w:hAnsi="Times New Roman" w:cs="Times New Roman"/>
          <w:sz w:val="28"/>
          <w:szCs w:val="28"/>
        </w:rPr>
        <w:t>Среднее количество заявок на участие в закупке, по данным ЕИС,</w:t>
      </w:r>
      <w:r w:rsidRPr="00D3469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E13536">
        <w:rPr>
          <w:rFonts w:ascii="Times New Roman" w:hAnsi="Times New Roman" w:cs="Times New Roman"/>
          <w:sz w:val="28"/>
          <w:szCs w:val="28"/>
        </w:rPr>
        <w:t>4 квартале</w:t>
      </w:r>
      <w:r w:rsidRPr="00D3469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E13536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D34691">
        <w:rPr>
          <w:rFonts w:ascii="Times New Roman" w:hAnsi="Times New Roman" w:cs="Times New Roman"/>
          <w:sz w:val="28"/>
          <w:szCs w:val="28"/>
        </w:rPr>
        <w:t xml:space="preserve">на </w:t>
      </w:r>
      <w:r w:rsidR="00E13536">
        <w:rPr>
          <w:rFonts w:ascii="Times New Roman" w:hAnsi="Times New Roman" w:cs="Times New Roman"/>
          <w:sz w:val="28"/>
          <w:szCs w:val="28"/>
        </w:rPr>
        <w:t xml:space="preserve">3,57 </w:t>
      </w:r>
      <w:r w:rsidRPr="00D34691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>
        <w:rPr>
          <w:rFonts w:ascii="Times New Roman" w:hAnsi="Times New Roman" w:cs="Times New Roman"/>
          <w:sz w:val="28"/>
          <w:szCs w:val="28"/>
        </w:rPr>
        <w:t xml:space="preserve"> </w:t>
      </w:r>
      <w:r w:rsidRPr="00D34691">
        <w:rPr>
          <w:rFonts w:ascii="Times New Roman" w:hAnsi="Times New Roman" w:cs="Times New Roman"/>
          <w:sz w:val="28"/>
          <w:szCs w:val="28"/>
        </w:rPr>
        <w:t>2018 года (</w:t>
      </w:r>
      <w:r w:rsidR="00E13536">
        <w:rPr>
          <w:rFonts w:ascii="Times New Roman" w:hAnsi="Times New Roman" w:cs="Times New Roman"/>
          <w:sz w:val="28"/>
          <w:szCs w:val="28"/>
        </w:rPr>
        <w:t>2,8</w:t>
      </w:r>
      <w:r w:rsidRPr="00D34691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E13536">
        <w:rPr>
          <w:rFonts w:ascii="Times New Roman" w:hAnsi="Times New Roman" w:cs="Times New Roman"/>
          <w:sz w:val="28"/>
          <w:szCs w:val="28"/>
        </w:rPr>
        <w:t>2,9</w:t>
      </w:r>
      <w:r w:rsidRPr="00D34691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D46780" w:rsidRPr="00D46780" w:rsidRDefault="00D46780" w:rsidP="00D46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80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РЕЕСТР КОНТРАКТОВ, ЗАКЛЮЧЕННЫХ ГОСУДАРСТВЕННЫМИ  ЗАКАЗЧИКАМИ КУРСКОЙ ОБЛАСТИ </w:t>
      </w:r>
    </w:p>
    <w:p w:rsidR="00D46780" w:rsidRDefault="00D46780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D46780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80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D46780">
        <w:rPr>
          <w:rFonts w:ascii="Times New Roman" w:hAnsi="Times New Roman" w:cs="Times New Roman"/>
          <w:sz w:val="28"/>
          <w:szCs w:val="28"/>
        </w:rPr>
        <w:t>квартале 2019 года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  <w:r w:rsidRPr="00D46780">
        <w:rPr>
          <w:rFonts w:ascii="Times New Roman" w:hAnsi="Times New Roman" w:cs="Times New Roman"/>
          <w:sz w:val="28"/>
          <w:szCs w:val="28"/>
        </w:rPr>
        <w:t xml:space="preserve"> заказчиками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D46780">
        <w:rPr>
          <w:rFonts w:ascii="Times New Roman" w:hAnsi="Times New Roman" w:cs="Times New Roman"/>
          <w:sz w:val="28"/>
          <w:szCs w:val="28"/>
        </w:rPr>
        <w:t xml:space="preserve"> было заключено  и  размещено  в  реестре  контрактов</w:t>
      </w:r>
      <w:r w:rsidR="00382084"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>4 134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>контракта</w:t>
      </w:r>
      <w:r w:rsidRPr="00D46780">
        <w:rPr>
          <w:rFonts w:ascii="Times New Roman" w:hAnsi="Times New Roman" w:cs="Times New Roman"/>
          <w:sz w:val="28"/>
          <w:szCs w:val="28"/>
        </w:rPr>
        <w:t xml:space="preserve">  общим  объемом</w:t>
      </w:r>
      <w:r w:rsidR="00FF40A7"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>4 572,71 млн.</w:t>
      </w:r>
      <w:r w:rsidRPr="00D46780">
        <w:rPr>
          <w:rFonts w:ascii="Times New Roman" w:hAnsi="Times New Roman" w:cs="Times New Roman"/>
          <w:sz w:val="28"/>
          <w:szCs w:val="28"/>
        </w:rPr>
        <w:t xml:space="preserve"> руб</w:t>
      </w:r>
      <w:r w:rsidR="00514B82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382084">
        <w:rPr>
          <w:rFonts w:ascii="Times New Roman" w:hAnsi="Times New Roman" w:cs="Times New Roman"/>
          <w:sz w:val="28"/>
          <w:szCs w:val="28"/>
        </w:rPr>
        <w:t>2 085</w:t>
      </w:r>
      <w:r w:rsidR="00514B82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="00382084">
        <w:rPr>
          <w:rFonts w:ascii="Times New Roman" w:hAnsi="Times New Roman" w:cs="Times New Roman"/>
          <w:sz w:val="28"/>
          <w:szCs w:val="28"/>
        </w:rPr>
        <w:t>3 571,90</w:t>
      </w:r>
      <w:r w:rsidR="00514B82">
        <w:rPr>
          <w:rFonts w:ascii="Times New Roman" w:hAnsi="Times New Roman" w:cs="Times New Roman"/>
          <w:sz w:val="28"/>
          <w:szCs w:val="28"/>
        </w:rPr>
        <w:t xml:space="preserve"> млн. руб. заключены с единственным поставщиком </w:t>
      </w:r>
      <w:r w:rsidR="00382084">
        <w:rPr>
          <w:rFonts w:ascii="Times New Roman" w:hAnsi="Times New Roman" w:cs="Times New Roman"/>
          <w:sz w:val="28"/>
          <w:szCs w:val="28"/>
        </w:rPr>
        <w:t>(</w:t>
      </w:r>
      <w:r w:rsidR="00514B82">
        <w:rPr>
          <w:rFonts w:ascii="Times New Roman" w:hAnsi="Times New Roman" w:cs="Times New Roman"/>
          <w:sz w:val="28"/>
          <w:szCs w:val="28"/>
        </w:rPr>
        <w:t>подрядчиком</w:t>
      </w:r>
      <w:r w:rsidR="00382084">
        <w:rPr>
          <w:rFonts w:ascii="Times New Roman" w:hAnsi="Times New Roman" w:cs="Times New Roman"/>
          <w:sz w:val="28"/>
          <w:szCs w:val="28"/>
        </w:rPr>
        <w:t>, исполнителем), в т.ч. 1 477 контрактов общим объемом 3 287,32 млн. руб., заключены с</w:t>
      </w:r>
      <w:proofErr w:type="gramEnd"/>
      <w:r w:rsidR="00382084">
        <w:rPr>
          <w:rFonts w:ascii="Times New Roman" w:hAnsi="Times New Roman" w:cs="Times New Roman"/>
          <w:sz w:val="28"/>
          <w:szCs w:val="28"/>
        </w:rPr>
        <w:t xml:space="preserve"> единственным поставщиком (подрядчиком, исполнителем) по результатам несостоявшихся процедур закупок.</w:t>
      </w:r>
    </w:p>
    <w:p w:rsidR="00FF40A7" w:rsidRDefault="00FF40A7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0A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>
        <w:rPr>
          <w:rFonts w:ascii="Times New Roman" w:hAnsi="Times New Roman" w:cs="Times New Roman"/>
          <w:sz w:val="28"/>
          <w:szCs w:val="28"/>
        </w:rPr>
        <w:t>.</w:t>
      </w:r>
    </w:p>
    <w:p w:rsidR="001F1ED5" w:rsidRDefault="001F1ED5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Tr="00236AD9"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F64046" w:rsidRDefault="00FF40A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F64046" w:rsidRDefault="00FF40A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2019 года</w:t>
            </w:r>
          </w:p>
        </w:tc>
      </w:tr>
      <w:tr w:rsidR="00FF40A7" w:rsidTr="00236AD9"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F64046" w:rsidRDefault="00FF40A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F64046" w:rsidRDefault="00FF40A7" w:rsidP="002E1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F64046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Tr="009C0E24">
        <w:trPr>
          <w:trHeight w:val="385"/>
        </w:trPr>
        <w:tc>
          <w:tcPr>
            <w:tcW w:w="5211" w:type="dxa"/>
          </w:tcPr>
          <w:p w:rsidR="00FF40A7" w:rsidRPr="00EF67A3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3 354</w:t>
            </w:r>
          </w:p>
        </w:tc>
        <w:tc>
          <w:tcPr>
            <w:tcW w:w="2232" w:type="dxa"/>
            <w:vAlign w:val="center"/>
          </w:tcPr>
          <w:p w:rsidR="00FF40A7" w:rsidRPr="002E1D48" w:rsidRDefault="00FF40A7" w:rsidP="002E1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E1D48">
              <w:rPr>
                <w:rFonts w:ascii="Times New Roman" w:hAnsi="Times New Roman" w:cs="Times New Roman"/>
                <w:b/>
                <w:sz w:val="24"/>
                <w:szCs w:val="24"/>
              </w:rPr>
              <w:t> 003,29</w:t>
            </w:r>
          </w:p>
        </w:tc>
      </w:tr>
      <w:tr w:rsidR="00952918" w:rsidTr="009C0E24">
        <w:trPr>
          <w:trHeight w:val="419"/>
        </w:trPr>
        <w:tc>
          <w:tcPr>
            <w:tcW w:w="5211" w:type="dxa"/>
          </w:tcPr>
          <w:p w:rsidR="00952918" w:rsidRPr="00952918" w:rsidRDefault="00952918" w:rsidP="0095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1 417</w:t>
            </w:r>
          </w:p>
        </w:tc>
        <w:tc>
          <w:tcPr>
            <w:tcW w:w="2232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3 104,18</w:t>
            </w:r>
          </w:p>
        </w:tc>
      </w:tr>
      <w:tr w:rsidR="00FF40A7" w:rsidTr="009C0E24">
        <w:trPr>
          <w:trHeight w:val="412"/>
        </w:trPr>
        <w:tc>
          <w:tcPr>
            <w:tcW w:w="5211" w:type="dxa"/>
          </w:tcPr>
          <w:p w:rsidR="00FF40A7" w:rsidRPr="00EF67A3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155,18</w:t>
            </w:r>
          </w:p>
        </w:tc>
      </w:tr>
      <w:tr w:rsidR="00952918" w:rsidTr="009C0E24">
        <w:trPr>
          <w:trHeight w:val="417"/>
        </w:trPr>
        <w:tc>
          <w:tcPr>
            <w:tcW w:w="5211" w:type="dxa"/>
          </w:tcPr>
          <w:p w:rsidR="00952918" w:rsidRPr="00EF67A3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138,77</w:t>
            </w:r>
          </w:p>
        </w:tc>
      </w:tr>
      <w:tr w:rsidR="00FF40A7" w:rsidTr="009C0E24">
        <w:trPr>
          <w:trHeight w:val="707"/>
        </w:trPr>
        <w:tc>
          <w:tcPr>
            <w:tcW w:w="5211" w:type="dxa"/>
          </w:tcPr>
          <w:p w:rsidR="00FF40A7" w:rsidRPr="00937C7C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101,67</w:t>
            </w:r>
          </w:p>
        </w:tc>
      </w:tr>
      <w:tr w:rsidR="00952918" w:rsidTr="009C0E24">
        <w:trPr>
          <w:trHeight w:val="420"/>
        </w:trPr>
        <w:tc>
          <w:tcPr>
            <w:tcW w:w="5211" w:type="dxa"/>
          </w:tcPr>
          <w:p w:rsidR="00952918" w:rsidRPr="00937C7C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32,22</w:t>
            </w:r>
          </w:p>
        </w:tc>
      </w:tr>
      <w:tr w:rsidR="00FF40A7" w:rsidTr="009C0E24">
        <w:trPr>
          <w:trHeight w:val="411"/>
        </w:trPr>
        <w:tc>
          <w:tcPr>
            <w:tcW w:w="5211" w:type="dxa"/>
          </w:tcPr>
          <w:p w:rsidR="00FF40A7" w:rsidRPr="00937C7C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0,32</w:t>
            </w:r>
          </w:p>
        </w:tc>
      </w:tr>
      <w:tr w:rsidR="00952918" w:rsidTr="009C0E24">
        <w:trPr>
          <w:trHeight w:val="417"/>
        </w:trPr>
        <w:tc>
          <w:tcPr>
            <w:tcW w:w="5211" w:type="dxa"/>
          </w:tcPr>
          <w:p w:rsidR="00952918" w:rsidRPr="00937C7C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</w:t>
            </w:r>
            <w:r w:rsidR="002E1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FF40A7" w:rsidTr="009C0E24">
        <w:trPr>
          <w:trHeight w:val="410"/>
        </w:trPr>
        <w:tc>
          <w:tcPr>
            <w:tcW w:w="5211" w:type="dxa"/>
          </w:tcPr>
          <w:p w:rsidR="00FF40A7" w:rsidRPr="00937C7C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232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27,20</w:t>
            </w:r>
          </w:p>
        </w:tc>
      </w:tr>
      <w:tr w:rsidR="00952918" w:rsidTr="009C0E24">
        <w:trPr>
          <w:trHeight w:val="415"/>
        </w:trPr>
        <w:tc>
          <w:tcPr>
            <w:tcW w:w="5211" w:type="dxa"/>
          </w:tcPr>
          <w:p w:rsidR="00952918" w:rsidRPr="00937C7C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</w:t>
            </w:r>
            <w:r w:rsidR="002E1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32" w:type="dxa"/>
            <w:vAlign w:val="center"/>
          </w:tcPr>
          <w:p w:rsidR="00952918" w:rsidRPr="00952918" w:rsidRDefault="002E1D4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11,82</w:t>
            </w:r>
          </w:p>
        </w:tc>
      </w:tr>
      <w:tr w:rsidR="002E1D48" w:rsidTr="009C0E24">
        <w:trPr>
          <w:trHeight w:val="407"/>
        </w:trPr>
        <w:tc>
          <w:tcPr>
            <w:tcW w:w="5211" w:type="dxa"/>
          </w:tcPr>
          <w:p w:rsidR="002E1D48" w:rsidRPr="002E1D48" w:rsidRDefault="002E1D4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Закрытый аукцион</w:t>
            </w:r>
          </w:p>
        </w:tc>
        <w:tc>
          <w:tcPr>
            <w:tcW w:w="2694" w:type="dxa"/>
            <w:vAlign w:val="center"/>
          </w:tcPr>
          <w:p w:rsidR="002E1D48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2E1D48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0,47</w:t>
            </w:r>
          </w:p>
        </w:tc>
      </w:tr>
      <w:tr w:rsidR="00FF40A7" w:rsidTr="009C0E24">
        <w:trPr>
          <w:trHeight w:val="697"/>
        </w:trPr>
        <w:tc>
          <w:tcPr>
            <w:tcW w:w="5211" w:type="dxa"/>
          </w:tcPr>
          <w:p w:rsidR="00FF40A7" w:rsidRPr="00C71D3B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3B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608</w:t>
            </w:r>
          </w:p>
        </w:tc>
        <w:tc>
          <w:tcPr>
            <w:tcW w:w="2232" w:type="dxa"/>
            <w:vAlign w:val="center"/>
          </w:tcPr>
          <w:p w:rsidR="00FF40A7" w:rsidRPr="002E1D48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284,58</w:t>
            </w:r>
          </w:p>
        </w:tc>
      </w:tr>
      <w:tr w:rsidR="00FF40A7" w:rsidTr="00236AD9">
        <w:tc>
          <w:tcPr>
            <w:tcW w:w="5211" w:type="dxa"/>
          </w:tcPr>
          <w:p w:rsidR="00FF40A7" w:rsidRPr="00611E94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FF40A7" w:rsidRPr="00611E94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4 134</w:t>
            </w:r>
          </w:p>
        </w:tc>
        <w:tc>
          <w:tcPr>
            <w:tcW w:w="2232" w:type="dxa"/>
            <w:vAlign w:val="center"/>
          </w:tcPr>
          <w:p w:rsidR="00FF40A7" w:rsidRPr="00611E94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4 572,71</w:t>
            </w:r>
          </w:p>
        </w:tc>
      </w:tr>
    </w:tbl>
    <w:p w:rsidR="002E51A8" w:rsidRDefault="002E51A8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Default="00DC0D7D" w:rsidP="00DC0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2018 года количество заключенных контрактов государственными заказчиками Курской области увеличилось на 708 шт. (20,67%), объем заключенных контрактов увеличился на 2 538,57 млн. руб.(124,8%).</w:t>
      </w:r>
    </w:p>
    <w:p w:rsidR="009C0E24" w:rsidRDefault="009C0E2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4 квартале 2019 года расторгнуто 135 контрактов на сумму 55,77 млн. руб., из них 131 контракт на сумму 44,18 млн. руб. расторгнут по соглашению сторон, 4 контракта на сумму 11,59 млн. руб. в связи с односторонним отказом заказчика от исполнения контракта.</w:t>
      </w:r>
    </w:p>
    <w:p w:rsidR="00236AD9" w:rsidRDefault="00236AD9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Default="00236AD9" w:rsidP="00DC0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6A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5528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0D7D" w:rsidRDefault="00DC0D7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F49BF" w:rsidRDefault="001F1ED5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в 4 квартале 2019 года экономия бюджетных средств составила 226,48 млн. руб. В сравнении с </w:t>
      </w:r>
      <w:r w:rsidR="00EF49BF">
        <w:rPr>
          <w:rFonts w:ascii="Times New Roman" w:hAnsi="Times New Roman" w:cs="Times New Roman"/>
          <w:sz w:val="28"/>
          <w:szCs w:val="28"/>
        </w:rPr>
        <w:t>аналогичным</w:t>
      </w:r>
      <w:r>
        <w:rPr>
          <w:rFonts w:ascii="Times New Roman" w:hAnsi="Times New Roman" w:cs="Times New Roman"/>
          <w:sz w:val="28"/>
          <w:szCs w:val="28"/>
        </w:rPr>
        <w:t xml:space="preserve"> периодом 2018 года</w:t>
      </w:r>
      <w:r w:rsidR="00EF49BF">
        <w:rPr>
          <w:rFonts w:ascii="Times New Roman" w:hAnsi="Times New Roman" w:cs="Times New Roman"/>
          <w:sz w:val="28"/>
          <w:szCs w:val="28"/>
        </w:rPr>
        <w:t xml:space="preserve"> экономия увеличилась на 24,51 млн. руб. или 12,14%.</w:t>
      </w:r>
    </w:p>
    <w:p w:rsidR="00EF49BF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F49BF" w:rsidRDefault="00EF49BF" w:rsidP="00EF49BF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5" cy="22479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6B2E" w:rsidRDefault="00556B2E" w:rsidP="00556B2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4187D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B4187D">
        <w:rPr>
          <w:rFonts w:ascii="Times New Roman" w:hAnsi="Times New Roman" w:cs="Times New Roman"/>
          <w:sz w:val="28"/>
          <w:szCs w:val="28"/>
        </w:rPr>
        <w:t xml:space="preserve"> способ определения поставщиков (подрядчиков, исполнителей) путем проведения электронных аукционов, при </w:t>
      </w:r>
      <w:r w:rsidR="001357A5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Pr="00B4187D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>
        <w:rPr>
          <w:rFonts w:ascii="Times New Roman" w:hAnsi="Times New Roman" w:cs="Times New Roman"/>
          <w:sz w:val="28"/>
          <w:szCs w:val="28"/>
        </w:rPr>
        <w:t xml:space="preserve"> 192,74 млн</w:t>
      </w:r>
      <w:r w:rsidRPr="00B4187D">
        <w:rPr>
          <w:rFonts w:ascii="Times New Roman" w:hAnsi="Times New Roman" w:cs="Times New Roman"/>
          <w:sz w:val="28"/>
          <w:szCs w:val="28"/>
        </w:rPr>
        <w:t xml:space="preserve">. рублей или </w:t>
      </w:r>
      <w:r>
        <w:rPr>
          <w:rFonts w:ascii="Times New Roman" w:hAnsi="Times New Roman" w:cs="Times New Roman"/>
          <w:sz w:val="28"/>
          <w:szCs w:val="28"/>
        </w:rPr>
        <w:t>85,10</w:t>
      </w:r>
      <w:r w:rsidRPr="00B4187D">
        <w:rPr>
          <w:rFonts w:ascii="Times New Roman" w:hAnsi="Times New Roman" w:cs="Times New Roman"/>
          <w:sz w:val="28"/>
          <w:szCs w:val="28"/>
        </w:rPr>
        <w:t xml:space="preserve"> % от общей экономии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7A5" w:rsidRDefault="001357A5" w:rsidP="00556B2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57A5" w:rsidRDefault="001357A5" w:rsidP="00556B2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56B2E" w:rsidRDefault="00556B2E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ED5" w:rsidRDefault="00115B20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B20">
        <w:rPr>
          <w:rFonts w:ascii="Times New Roman" w:hAnsi="Times New Roman" w:cs="Times New Roman"/>
          <w:b/>
          <w:sz w:val="28"/>
          <w:szCs w:val="28"/>
        </w:rPr>
        <w:lastRenderedPageBreak/>
        <w:t>3. ЗАКУПКИ В РАМКАХ РЕАЛИЗАЦИИ НАЦИОНАЛЬНЫХ ПРОЕКТОВ В КУРСКОЙ ОБЛАСТИ</w:t>
      </w:r>
    </w:p>
    <w:p w:rsidR="00077404" w:rsidRDefault="00077404" w:rsidP="00F7100C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B5" w:rsidRDefault="00077404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F0E">
        <w:rPr>
          <w:rFonts w:ascii="Times New Roman" w:hAnsi="Times New Roman" w:cs="Times New Roman"/>
          <w:sz w:val="28"/>
          <w:szCs w:val="28"/>
        </w:rPr>
        <w:t>В 4 квартале 2019 года в рамках реализации национальных проектов в Курской области государственными</w:t>
      </w:r>
      <w:r w:rsidR="00524F0E">
        <w:rPr>
          <w:rFonts w:ascii="Times New Roman" w:hAnsi="Times New Roman" w:cs="Times New Roman"/>
          <w:sz w:val="28"/>
          <w:szCs w:val="28"/>
        </w:rPr>
        <w:t xml:space="preserve"> и муниципальными</w:t>
      </w:r>
      <w:r w:rsidRPr="00524F0E">
        <w:rPr>
          <w:rFonts w:ascii="Times New Roman" w:hAnsi="Times New Roman" w:cs="Times New Roman"/>
          <w:sz w:val="28"/>
          <w:szCs w:val="28"/>
        </w:rPr>
        <w:t xml:space="preserve"> заказчиками Курской области размещено</w:t>
      </w:r>
      <w:r w:rsidR="00524F0E">
        <w:rPr>
          <w:rFonts w:ascii="Times New Roman" w:hAnsi="Times New Roman" w:cs="Times New Roman"/>
          <w:sz w:val="28"/>
          <w:szCs w:val="28"/>
        </w:rPr>
        <w:t xml:space="preserve"> 172 извещения</w:t>
      </w:r>
      <w:r w:rsidR="006509B5">
        <w:rPr>
          <w:rFonts w:ascii="Times New Roman" w:hAnsi="Times New Roman" w:cs="Times New Roman"/>
          <w:sz w:val="28"/>
          <w:szCs w:val="28"/>
        </w:rPr>
        <w:t xml:space="preserve"> </w:t>
      </w:r>
      <w:r w:rsidR="00A3645E">
        <w:rPr>
          <w:rFonts w:ascii="Times New Roman" w:hAnsi="Times New Roman" w:cs="Times New Roman"/>
          <w:sz w:val="28"/>
          <w:szCs w:val="28"/>
        </w:rPr>
        <w:t>общим объемом</w:t>
      </w:r>
      <w:r w:rsidR="006509B5">
        <w:rPr>
          <w:rFonts w:ascii="Times New Roman" w:hAnsi="Times New Roman" w:cs="Times New Roman"/>
          <w:sz w:val="28"/>
          <w:szCs w:val="28"/>
        </w:rPr>
        <w:t xml:space="preserve"> 1 629,05 млн. руб.</w:t>
      </w:r>
    </w:p>
    <w:p w:rsidR="006509B5" w:rsidRPr="00524F0E" w:rsidRDefault="00524F0E" w:rsidP="00F7100C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404" w:rsidRPr="00524F0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5211"/>
        <w:gridCol w:w="2977"/>
        <w:gridCol w:w="1949"/>
      </w:tblGrid>
      <w:tr w:rsidR="006509B5" w:rsidTr="00F7100C">
        <w:tc>
          <w:tcPr>
            <w:tcW w:w="5211" w:type="dxa"/>
            <w:vMerge w:val="restart"/>
            <w:shd w:val="clear" w:color="auto" w:fill="F2DBDB" w:themeFill="accent2" w:themeFillTint="33"/>
            <w:vAlign w:val="center"/>
          </w:tcPr>
          <w:p w:rsidR="006509B5" w:rsidRPr="00F64046" w:rsidRDefault="006509B5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4926" w:type="dxa"/>
            <w:gridSpan w:val="2"/>
            <w:shd w:val="clear" w:color="auto" w:fill="F2DBDB" w:themeFill="accent2" w:themeFillTint="33"/>
            <w:vAlign w:val="center"/>
          </w:tcPr>
          <w:p w:rsidR="006509B5" w:rsidRPr="00F64046" w:rsidRDefault="006509B5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2019 года</w:t>
            </w:r>
          </w:p>
        </w:tc>
      </w:tr>
      <w:tr w:rsidR="006509B5" w:rsidTr="00F7100C">
        <w:tc>
          <w:tcPr>
            <w:tcW w:w="5211" w:type="dxa"/>
            <w:vMerge/>
            <w:shd w:val="clear" w:color="auto" w:fill="F2DBDB" w:themeFill="accent2" w:themeFillTint="33"/>
            <w:vAlign w:val="center"/>
          </w:tcPr>
          <w:p w:rsidR="006509B5" w:rsidRPr="00F64046" w:rsidRDefault="006509B5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6509B5" w:rsidRPr="00F64046" w:rsidRDefault="006509B5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1949" w:type="dxa"/>
            <w:shd w:val="clear" w:color="auto" w:fill="F2DBDB" w:themeFill="accent2" w:themeFillTint="33"/>
            <w:vAlign w:val="center"/>
          </w:tcPr>
          <w:p w:rsidR="006509B5" w:rsidRPr="00F64046" w:rsidRDefault="006509B5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6509B5" w:rsidTr="00C530B1">
        <w:tc>
          <w:tcPr>
            <w:tcW w:w="5211" w:type="dxa"/>
          </w:tcPr>
          <w:p w:rsidR="006509B5" w:rsidRPr="006509B5" w:rsidRDefault="006509B5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9B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977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49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</w:tr>
      <w:tr w:rsidR="006509B5" w:rsidTr="00C530B1">
        <w:tc>
          <w:tcPr>
            <w:tcW w:w="5211" w:type="dxa"/>
          </w:tcPr>
          <w:p w:rsidR="006509B5" w:rsidRPr="00C2412D" w:rsidRDefault="006509B5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9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235,24</w:t>
            </w:r>
          </w:p>
        </w:tc>
      </w:tr>
      <w:tr w:rsidR="006509B5" w:rsidTr="00C530B1">
        <w:tc>
          <w:tcPr>
            <w:tcW w:w="5211" w:type="dxa"/>
          </w:tcPr>
          <w:p w:rsidR="006509B5" w:rsidRPr="00EF67A3" w:rsidRDefault="006509B5" w:rsidP="00A3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2977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9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329,31</w:t>
            </w:r>
          </w:p>
        </w:tc>
      </w:tr>
      <w:tr w:rsidR="006509B5" w:rsidTr="00C530B1">
        <w:tc>
          <w:tcPr>
            <w:tcW w:w="5211" w:type="dxa"/>
          </w:tcPr>
          <w:p w:rsidR="006509B5" w:rsidRPr="00C2412D" w:rsidRDefault="00C530B1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 И ГОРОДСКАЯ СРЕДА</w:t>
            </w:r>
          </w:p>
        </w:tc>
        <w:tc>
          <w:tcPr>
            <w:tcW w:w="2977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9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257,06</w:t>
            </w:r>
          </w:p>
        </w:tc>
      </w:tr>
      <w:tr w:rsidR="006509B5" w:rsidTr="00C530B1">
        <w:tc>
          <w:tcPr>
            <w:tcW w:w="5211" w:type="dxa"/>
          </w:tcPr>
          <w:p w:rsidR="006509B5" w:rsidRPr="00C530B1" w:rsidRDefault="00C530B1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АВТОМОБИЛЬНЫЕ ДОРОГИ</w:t>
            </w:r>
          </w:p>
        </w:tc>
        <w:tc>
          <w:tcPr>
            <w:tcW w:w="2977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  <w:vAlign w:val="center"/>
          </w:tcPr>
          <w:p w:rsidR="006509B5" w:rsidRPr="00C530B1" w:rsidRDefault="00C530B1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786,27</w:t>
            </w:r>
          </w:p>
        </w:tc>
      </w:tr>
      <w:tr w:rsidR="006509B5" w:rsidTr="00C530B1">
        <w:tc>
          <w:tcPr>
            <w:tcW w:w="5211" w:type="dxa"/>
          </w:tcPr>
          <w:p w:rsidR="006509B5" w:rsidRPr="00611E94" w:rsidRDefault="006509B5" w:rsidP="00A3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vAlign w:val="center"/>
          </w:tcPr>
          <w:p w:rsidR="006509B5" w:rsidRPr="00611E94" w:rsidRDefault="00C530B1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949" w:type="dxa"/>
            <w:vAlign w:val="center"/>
          </w:tcPr>
          <w:p w:rsidR="006509B5" w:rsidRPr="00611E94" w:rsidRDefault="00C530B1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1 629,05</w:t>
            </w:r>
          </w:p>
        </w:tc>
      </w:tr>
    </w:tbl>
    <w:p w:rsidR="00077404" w:rsidRDefault="00077404" w:rsidP="00F7100C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7100C" w:rsidRDefault="00BD15AC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7813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15AC" w:rsidRDefault="00BD15AC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530B1" w:rsidRDefault="00A3645E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квартале 2019 года в рамках реализации национальных проектов в Курской области государственными и муниципальными заказчиками Курской области заключено 300 контрактов общим объемом 2 784,95 млн. руб.</w:t>
      </w:r>
    </w:p>
    <w:p w:rsidR="00A3645E" w:rsidRDefault="00A3645E" w:rsidP="00F7100C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110"/>
        <w:gridCol w:w="1719"/>
        <w:gridCol w:w="2435"/>
        <w:gridCol w:w="1873"/>
      </w:tblGrid>
      <w:tr w:rsidR="007D34F7" w:rsidTr="00906644">
        <w:tc>
          <w:tcPr>
            <w:tcW w:w="4110" w:type="dxa"/>
            <w:vMerge w:val="restart"/>
            <w:shd w:val="clear" w:color="auto" w:fill="F2DBDB" w:themeFill="accent2" w:themeFillTint="33"/>
            <w:vAlign w:val="center"/>
          </w:tcPr>
          <w:p w:rsidR="007D34F7" w:rsidRPr="00F64046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6027" w:type="dxa"/>
            <w:gridSpan w:val="3"/>
            <w:shd w:val="clear" w:color="auto" w:fill="F2DBDB" w:themeFill="accent2" w:themeFillTint="33"/>
            <w:vAlign w:val="center"/>
          </w:tcPr>
          <w:p w:rsidR="007D34F7" w:rsidRPr="00F64046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2019 года</w:t>
            </w:r>
          </w:p>
        </w:tc>
      </w:tr>
      <w:tr w:rsidR="007D34F7" w:rsidTr="007D34F7">
        <w:tc>
          <w:tcPr>
            <w:tcW w:w="4110" w:type="dxa"/>
            <w:vMerge/>
            <w:shd w:val="clear" w:color="auto" w:fill="F2DBDB" w:themeFill="accent2" w:themeFillTint="33"/>
            <w:vAlign w:val="center"/>
          </w:tcPr>
          <w:p w:rsidR="007D34F7" w:rsidRPr="00F64046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F2DBDB" w:themeFill="accent2" w:themeFillTint="33"/>
            <w:vAlign w:val="center"/>
          </w:tcPr>
          <w:p w:rsidR="007D34F7" w:rsidRPr="00F64046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:rsidR="007D34F7" w:rsidRPr="00F64046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контрактов</w:t>
            </w: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  <w:tc>
          <w:tcPr>
            <w:tcW w:w="1873" w:type="dxa"/>
            <w:shd w:val="clear" w:color="auto" w:fill="F2DBDB" w:themeFill="accent2" w:themeFillTint="33"/>
            <w:vAlign w:val="center"/>
          </w:tcPr>
          <w:p w:rsidR="007D34F7" w:rsidRDefault="007D34F7" w:rsidP="007D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Экономия, млн. руб.</w:t>
            </w:r>
          </w:p>
        </w:tc>
      </w:tr>
      <w:tr w:rsidR="007D34F7" w:rsidTr="007D34F7">
        <w:tc>
          <w:tcPr>
            <w:tcW w:w="4110" w:type="dxa"/>
          </w:tcPr>
          <w:p w:rsidR="007D34F7" w:rsidRPr="006509B5" w:rsidRDefault="007D34F7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9B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19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35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353,25</w:t>
            </w:r>
          </w:p>
        </w:tc>
        <w:tc>
          <w:tcPr>
            <w:tcW w:w="1873" w:type="dxa"/>
          </w:tcPr>
          <w:p w:rsidR="007D34F7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7D34F7" w:rsidTr="007D34F7">
        <w:tc>
          <w:tcPr>
            <w:tcW w:w="4110" w:type="dxa"/>
          </w:tcPr>
          <w:p w:rsidR="007D34F7" w:rsidRPr="00C2412D" w:rsidRDefault="007D34F7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5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341,99</w:t>
            </w:r>
          </w:p>
        </w:tc>
        <w:tc>
          <w:tcPr>
            <w:tcW w:w="1873" w:type="dxa"/>
          </w:tcPr>
          <w:p w:rsidR="007D34F7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7D34F7" w:rsidTr="007D34F7">
        <w:tc>
          <w:tcPr>
            <w:tcW w:w="4110" w:type="dxa"/>
          </w:tcPr>
          <w:p w:rsidR="007D34F7" w:rsidRPr="00EF67A3" w:rsidRDefault="007D34F7" w:rsidP="00A3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1719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5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440,10</w:t>
            </w:r>
          </w:p>
        </w:tc>
        <w:tc>
          <w:tcPr>
            <w:tcW w:w="1873" w:type="dxa"/>
          </w:tcPr>
          <w:p w:rsidR="007D34F7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</w:tr>
      <w:tr w:rsidR="007D34F7" w:rsidTr="007D34F7">
        <w:tc>
          <w:tcPr>
            <w:tcW w:w="4110" w:type="dxa"/>
          </w:tcPr>
          <w:p w:rsidR="007D34F7" w:rsidRPr="00C2412D" w:rsidRDefault="007D34F7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 И ГОРОДСКАЯ СРЕДА</w:t>
            </w:r>
          </w:p>
        </w:tc>
        <w:tc>
          <w:tcPr>
            <w:tcW w:w="1719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5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259,72</w:t>
            </w:r>
          </w:p>
        </w:tc>
        <w:tc>
          <w:tcPr>
            <w:tcW w:w="1873" w:type="dxa"/>
          </w:tcPr>
          <w:p w:rsidR="007D34F7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D34F7" w:rsidTr="007D34F7">
        <w:tc>
          <w:tcPr>
            <w:tcW w:w="4110" w:type="dxa"/>
          </w:tcPr>
          <w:p w:rsidR="007D34F7" w:rsidRPr="00C530B1" w:rsidRDefault="007D34F7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0B1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АВТОМОБИЛЬНЫЕ ДОРОГИ</w:t>
            </w:r>
          </w:p>
        </w:tc>
        <w:tc>
          <w:tcPr>
            <w:tcW w:w="1719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5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1 388,19</w:t>
            </w:r>
          </w:p>
        </w:tc>
        <w:tc>
          <w:tcPr>
            <w:tcW w:w="1873" w:type="dxa"/>
            <w:vAlign w:val="center"/>
          </w:tcPr>
          <w:p w:rsidR="007D34F7" w:rsidRDefault="007D34F7" w:rsidP="007D3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</w:tr>
      <w:tr w:rsidR="007D34F7" w:rsidTr="007D34F7">
        <w:tc>
          <w:tcPr>
            <w:tcW w:w="4110" w:type="dxa"/>
          </w:tcPr>
          <w:p w:rsidR="007D34F7" w:rsidRPr="00C530B1" w:rsidRDefault="007D34F7" w:rsidP="00A3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9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  <w:vAlign w:val="center"/>
          </w:tcPr>
          <w:p w:rsidR="007D34F7" w:rsidRPr="00C530B1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73" w:type="dxa"/>
          </w:tcPr>
          <w:p w:rsidR="007D34F7" w:rsidRDefault="007D34F7" w:rsidP="00A3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4F7" w:rsidTr="007D34F7">
        <w:tc>
          <w:tcPr>
            <w:tcW w:w="4110" w:type="dxa"/>
          </w:tcPr>
          <w:p w:rsidR="007D34F7" w:rsidRPr="00611E94" w:rsidRDefault="007D34F7" w:rsidP="00A3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19" w:type="dxa"/>
            <w:vAlign w:val="center"/>
          </w:tcPr>
          <w:p w:rsidR="007D34F7" w:rsidRPr="00611E94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435" w:type="dxa"/>
            <w:vAlign w:val="center"/>
          </w:tcPr>
          <w:p w:rsidR="007D34F7" w:rsidRPr="00611E94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2 784,95</w:t>
            </w:r>
          </w:p>
        </w:tc>
        <w:tc>
          <w:tcPr>
            <w:tcW w:w="1873" w:type="dxa"/>
          </w:tcPr>
          <w:p w:rsidR="007D34F7" w:rsidRDefault="007D34F7" w:rsidP="00A36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66,16</w:t>
            </w:r>
          </w:p>
        </w:tc>
      </w:tr>
    </w:tbl>
    <w:p w:rsidR="00A3645E" w:rsidRPr="00524F0E" w:rsidRDefault="00A3645E" w:rsidP="00F7100C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F00B4" w:rsidRDefault="00FF00B4" w:rsidP="001357A5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FF00B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05375" cy="2962275"/>
            <wp:effectExtent l="19050" t="0" r="9525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00B4" w:rsidRDefault="00FF00B4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15B20" w:rsidRDefault="000C1B59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357A5">
        <w:rPr>
          <w:rFonts w:ascii="Times New Roman" w:hAnsi="Times New Roman" w:cs="Times New Roman"/>
          <w:sz w:val="28"/>
          <w:szCs w:val="28"/>
        </w:rPr>
        <w:t>заключенных</w:t>
      </w:r>
      <w:r>
        <w:rPr>
          <w:rFonts w:ascii="Times New Roman" w:hAnsi="Times New Roman" w:cs="Times New Roman"/>
          <w:sz w:val="28"/>
          <w:szCs w:val="28"/>
        </w:rPr>
        <w:t xml:space="preserve"> контрактов в рамках реализации национальных проектов в 4 квартале 2019 года получена экономия в размере 66,16 млн. руб.</w:t>
      </w:r>
      <w:r w:rsidR="009C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C18" w:rsidRDefault="009F6C18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64046" w:rsidRDefault="00EF328F" w:rsidP="00FF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0A7">
        <w:rPr>
          <w:rFonts w:ascii="Times New Roman" w:hAnsi="Times New Roman" w:cs="Times New Roman"/>
          <w:sz w:val="28"/>
          <w:szCs w:val="28"/>
        </w:rPr>
        <w:t xml:space="preserve">  </w:t>
      </w:r>
      <w:r w:rsidR="000A24AA" w:rsidRPr="000A24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8706" cy="3421329"/>
            <wp:effectExtent l="57150" t="19050" r="47244" b="7671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4046" w:rsidRDefault="00F64046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A6286" w:rsidRPr="007A6286" w:rsidRDefault="007D34F7" w:rsidP="007A6286">
      <w:pPr>
        <w:pStyle w:val="ab"/>
        <w:spacing w:after="0" w:line="240" w:lineRule="auto"/>
        <w:ind w:left="0"/>
        <w:jc w:val="center"/>
      </w:pPr>
      <w:r w:rsidRPr="007D34F7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7A6286" w:rsidRPr="007A6286">
        <w:rPr>
          <w:rFonts w:ascii="Times New Roman" w:hAnsi="Times New Roman"/>
          <w:b/>
          <w:bCs/>
          <w:sz w:val="28"/>
          <w:szCs w:val="28"/>
        </w:rPr>
        <w:t>ОСНОВНЫЕ ИТОГИ ОСУЩЕСТВЛЕНИЯ ЗАКУПОК</w:t>
      </w:r>
      <w:r w:rsidR="007A6286" w:rsidRPr="007A6286">
        <w:t xml:space="preserve"> </w:t>
      </w:r>
    </w:p>
    <w:p w:rsidR="00F64046" w:rsidRDefault="007A6286" w:rsidP="007A628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286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4 КВАРТАЛЕ</w:t>
      </w:r>
      <w:r w:rsidRPr="007A6286">
        <w:rPr>
          <w:rFonts w:ascii="Times New Roman" w:hAnsi="Times New Roman"/>
          <w:b/>
          <w:bCs/>
          <w:sz w:val="28"/>
          <w:szCs w:val="28"/>
        </w:rPr>
        <w:t xml:space="preserve"> 2019 ГОДА</w:t>
      </w:r>
    </w:p>
    <w:p w:rsidR="007A6286" w:rsidRDefault="007A6286" w:rsidP="007A628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286" w:rsidRDefault="007A6286" w:rsidP="007A628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 4 квартале 2019 года в сравнении с аналогичным периодом 2018 года увеличился </w:t>
      </w:r>
      <w:proofErr w:type="gramStart"/>
      <w:r>
        <w:rPr>
          <w:rFonts w:ascii="Times New Roman" w:hAnsi="Times New Roman"/>
          <w:sz w:val="28"/>
          <w:szCs w:val="28"/>
        </w:rPr>
        <w:t>стоимостной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объем размещенных извещений государственными заказчиками Курской области на  3 019,61 млн. руб. (144,09%).</w:t>
      </w:r>
    </w:p>
    <w:p w:rsidR="007A6286" w:rsidRDefault="007A6286" w:rsidP="007A628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Определение поставщика (подрядчика, исполнителя) путем проведения электронного аукциона остается самым распространенным конкурентным способом. Доля закупок, проведенных данным способом</w:t>
      </w:r>
      <w:r w:rsidR="00C27D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0367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квартале 2019 года</w:t>
      </w:r>
      <w:r w:rsidR="000367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составила 93,23%.</w:t>
      </w:r>
    </w:p>
    <w:p w:rsidR="007A6286" w:rsidRDefault="007A6286" w:rsidP="007A628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В 4 квартале 2019 года несостоялось 1 914 процедур закупок, что на </w:t>
      </w:r>
      <w:r w:rsidR="00C27D5D">
        <w:rPr>
          <w:rFonts w:ascii="Times New Roman" w:hAnsi="Times New Roman"/>
          <w:sz w:val="28"/>
          <w:szCs w:val="28"/>
        </w:rPr>
        <w:t>628</w:t>
      </w:r>
      <w:r>
        <w:rPr>
          <w:rFonts w:ascii="Times New Roman" w:hAnsi="Times New Roman"/>
          <w:sz w:val="28"/>
          <w:szCs w:val="28"/>
        </w:rPr>
        <w:t xml:space="preserve"> процедур (</w:t>
      </w:r>
      <w:r w:rsidR="00C27D5D">
        <w:rPr>
          <w:rFonts w:ascii="Times New Roman" w:hAnsi="Times New Roman"/>
          <w:sz w:val="28"/>
          <w:szCs w:val="28"/>
        </w:rPr>
        <w:t>32,81</w:t>
      </w:r>
      <w:r>
        <w:rPr>
          <w:rFonts w:ascii="Times New Roman" w:hAnsi="Times New Roman"/>
          <w:sz w:val="28"/>
          <w:szCs w:val="28"/>
        </w:rPr>
        <w:t xml:space="preserve">%) выше показателя </w:t>
      </w:r>
      <w:r w:rsidR="00C27D5D">
        <w:rPr>
          <w:rFonts w:ascii="Times New Roman" w:hAnsi="Times New Roman"/>
          <w:sz w:val="28"/>
          <w:szCs w:val="28"/>
        </w:rPr>
        <w:t>аналогичного периода 2018 года</w:t>
      </w:r>
      <w:r>
        <w:rPr>
          <w:rFonts w:ascii="Times New Roman" w:hAnsi="Times New Roman"/>
          <w:sz w:val="28"/>
          <w:szCs w:val="28"/>
        </w:rPr>
        <w:t>. Основной п</w:t>
      </w:r>
      <w:r w:rsidRPr="000553C7">
        <w:rPr>
          <w:rFonts w:ascii="Times New Roman" w:hAnsi="Times New Roman"/>
          <w:sz w:val="28"/>
          <w:szCs w:val="28"/>
        </w:rPr>
        <w:t>ричин</w:t>
      </w:r>
      <w:r>
        <w:rPr>
          <w:rFonts w:ascii="Times New Roman" w:hAnsi="Times New Roman"/>
          <w:sz w:val="28"/>
          <w:szCs w:val="28"/>
        </w:rPr>
        <w:t>ой</w:t>
      </w:r>
      <w:r w:rsidRPr="000553C7">
        <w:rPr>
          <w:rFonts w:ascii="Times New Roman" w:hAnsi="Times New Roman"/>
          <w:sz w:val="28"/>
          <w:szCs w:val="28"/>
        </w:rPr>
        <w:t xml:space="preserve"> признания определения поставщика</w:t>
      </w:r>
      <w:r>
        <w:rPr>
          <w:rFonts w:ascii="Times New Roman" w:hAnsi="Times New Roman"/>
          <w:sz w:val="28"/>
          <w:szCs w:val="28"/>
        </w:rPr>
        <w:t xml:space="preserve"> (подрядчика, исполнителя) </w:t>
      </w:r>
      <w:r w:rsidRPr="000553C7">
        <w:rPr>
          <w:rFonts w:ascii="Times New Roman" w:hAnsi="Times New Roman"/>
          <w:sz w:val="28"/>
          <w:szCs w:val="28"/>
        </w:rPr>
        <w:t xml:space="preserve"> несостоявшимся</w:t>
      </w:r>
      <w:r>
        <w:rPr>
          <w:rFonts w:ascii="Times New Roman" w:hAnsi="Times New Roman"/>
          <w:sz w:val="28"/>
          <w:szCs w:val="28"/>
        </w:rPr>
        <w:t xml:space="preserve"> является подача только одной заявки для участия в процедуре закупки </w:t>
      </w:r>
      <w:r w:rsidR="000367B0">
        <w:rPr>
          <w:rFonts w:ascii="Times New Roman" w:hAnsi="Times New Roman"/>
          <w:sz w:val="28"/>
          <w:szCs w:val="28"/>
        </w:rPr>
        <w:t xml:space="preserve">- 1 278 процедур </w:t>
      </w:r>
      <w:r>
        <w:rPr>
          <w:rFonts w:ascii="Times New Roman" w:hAnsi="Times New Roman"/>
          <w:sz w:val="28"/>
          <w:szCs w:val="28"/>
        </w:rPr>
        <w:t>(</w:t>
      </w:r>
      <w:r w:rsidR="00C27D5D">
        <w:rPr>
          <w:rFonts w:ascii="Times New Roman" w:hAnsi="Times New Roman"/>
          <w:sz w:val="28"/>
          <w:szCs w:val="28"/>
        </w:rPr>
        <w:t>66,76</w:t>
      </w:r>
      <w:r>
        <w:rPr>
          <w:rFonts w:ascii="Times New Roman" w:hAnsi="Times New Roman"/>
          <w:sz w:val="28"/>
          <w:szCs w:val="28"/>
        </w:rPr>
        <w:t>%).</w:t>
      </w:r>
    </w:p>
    <w:p w:rsidR="007A6286" w:rsidRDefault="00C27D5D" w:rsidP="00C27D5D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6286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>
        <w:rPr>
          <w:rFonts w:ascii="Times New Roman" w:hAnsi="Times New Roman"/>
          <w:sz w:val="28"/>
          <w:szCs w:val="28"/>
        </w:rPr>
        <w:t>заключенных контрактов в 4 квартале</w:t>
      </w:r>
      <w:r w:rsidR="007A628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7A6286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>
        <w:rPr>
          <w:rFonts w:ascii="Times New Roman" w:hAnsi="Times New Roman"/>
          <w:sz w:val="28"/>
          <w:szCs w:val="28"/>
        </w:rPr>
        <w:t>увеличение суммы</w:t>
      </w:r>
      <w:r w:rsidR="007A6286">
        <w:rPr>
          <w:rFonts w:ascii="Times New Roman" w:hAnsi="Times New Roman" w:cs="Times New Roman"/>
          <w:sz w:val="28"/>
          <w:szCs w:val="28"/>
        </w:rPr>
        <w:t xml:space="preserve"> экономии бюджетных ассигнований в сравнении с </w:t>
      </w:r>
      <w:r>
        <w:rPr>
          <w:rFonts w:ascii="Times New Roman" w:hAnsi="Times New Roman"/>
          <w:sz w:val="28"/>
          <w:szCs w:val="28"/>
        </w:rPr>
        <w:t>4 кварталом 2018</w:t>
      </w:r>
      <w:r w:rsidR="007A628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="007A628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24,51 млн. руб. или 12,14%.</w:t>
      </w:r>
      <w:r w:rsidR="007A6286" w:rsidRPr="00C27D5D">
        <w:rPr>
          <w:rFonts w:ascii="Times New Roman" w:hAnsi="Times New Roman"/>
          <w:sz w:val="28"/>
          <w:szCs w:val="28"/>
        </w:rPr>
        <w:t xml:space="preserve"> </w:t>
      </w:r>
    </w:p>
    <w:p w:rsidR="000367B0" w:rsidRDefault="000367B0" w:rsidP="000367B0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4187D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</w:t>
      </w:r>
      <w:r>
        <w:rPr>
          <w:rFonts w:ascii="Times New Roman" w:hAnsi="Times New Roman" w:cs="Times New Roman"/>
          <w:sz w:val="28"/>
          <w:szCs w:val="28"/>
        </w:rPr>
        <w:t>остается</w:t>
      </w:r>
      <w:r w:rsidRPr="00B4187D">
        <w:rPr>
          <w:rFonts w:ascii="Times New Roman" w:hAnsi="Times New Roman" w:cs="Times New Roman"/>
          <w:sz w:val="28"/>
          <w:szCs w:val="28"/>
        </w:rPr>
        <w:t xml:space="preserve"> способ определения поставщиков (подрядчиков, исполнителей) путем проведения электронных аукционов, при </w:t>
      </w:r>
      <w:r>
        <w:rPr>
          <w:rFonts w:ascii="Times New Roman" w:hAnsi="Times New Roman" w:cs="Times New Roman"/>
          <w:sz w:val="28"/>
          <w:szCs w:val="28"/>
        </w:rPr>
        <w:t xml:space="preserve">данном способе в 4 квартале 2019 года </w:t>
      </w:r>
      <w:r w:rsidRPr="00B4187D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>
        <w:rPr>
          <w:rFonts w:ascii="Times New Roman" w:hAnsi="Times New Roman" w:cs="Times New Roman"/>
          <w:sz w:val="28"/>
          <w:szCs w:val="28"/>
        </w:rPr>
        <w:t xml:space="preserve"> 192,74 млн</w:t>
      </w:r>
      <w:r w:rsidRPr="00B4187D">
        <w:rPr>
          <w:rFonts w:ascii="Times New Roman" w:hAnsi="Times New Roman" w:cs="Times New Roman"/>
          <w:sz w:val="28"/>
          <w:szCs w:val="28"/>
        </w:rPr>
        <w:t xml:space="preserve">. рублей или </w:t>
      </w:r>
      <w:r>
        <w:rPr>
          <w:rFonts w:ascii="Times New Roman" w:hAnsi="Times New Roman" w:cs="Times New Roman"/>
          <w:sz w:val="28"/>
          <w:szCs w:val="28"/>
        </w:rPr>
        <w:t>85,10</w:t>
      </w:r>
      <w:r w:rsidRPr="00B4187D">
        <w:rPr>
          <w:rFonts w:ascii="Times New Roman" w:hAnsi="Times New Roman" w:cs="Times New Roman"/>
          <w:sz w:val="28"/>
          <w:szCs w:val="28"/>
        </w:rPr>
        <w:t xml:space="preserve"> % от общей экономии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7B0" w:rsidRDefault="000367B0" w:rsidP="000367B0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7B0" w:rsidRPr="00C27D5D" w:rsidRDefault="000367B0" w:rsidP="00C27D5D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6286" w:rsidRDefault="007A6286" w:rsidP="007A628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7A6286" w:rsidRPr="007A6286" w:rsidRDefault="007A6286" w:rsidP="007A628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46" w:rsidRDefault="00F64046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867AB" w:rsidRDefault="00A867AB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AB" w:rsidRDefault="00A867AB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AB" w:rsidRPr="003172DE" w:rsidRDefault="00A867AB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7D" w:rsidRPr="003172DE" w:rsidRDefault="0006127D" w:rsidP="00CC06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1C57" w:rsidRDefault="0006127D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069F">
        <w:rPr>
          <w:rFonts w:ascii="Times New Roman" w:hAnsi="Times New Roman" w:cs="Times New Roman"/>
          <w:sz w:val="24"/>
          <w:szCs w:val="24"/>
        </w:rPr>
        <w:t xml:space="preserve">  </w:t>
      </w:r>
      <w:r w:rsidR="00DA2CB5" w:rsidRPr="00DA2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F96" w:rsidRDefault="00412F96" w:rsidP="00CC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F96" w:rsidSect="00667E4C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93" w:rsidRDefault="00272293" w:rsidP="00041C57">
      <w:pPr>
        <w:spacing w:after="0" w:line="240" w:lineRule="auto"/>
      </w:pPr>
      <w:r>
        <w:separator/>
      </w:r>
    </w:p>
  </w:endnote>
  <w:endnote w:type="continuationSeparator" w:id="0">
    <w:p w:rsidR="00272293" w:rsidRDefault="00272293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93" w:rsidRDefault="00272293" w:rsidP="00041C57">
      <w:pPr>
        <w:spacing w:after="0" w:line="240" w:lineRule="auto"/>
      </w:pPr>
      <w:r>
        <w:separator/>
      </w:r>
    </w:p>
  </w:footnote>
  <w:footnote w:type="continuationSeparator" w:id="0">
    <w:p w:rsidR="00272293" w:rsidRDefault="00272293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Content>
      <w:p w:rsidR="00906644" w:rsidRDefault="00906644">
        <w:pPr>
          <w:pStyle w:val="a3"/>
          <w:jc w:val="center"/>
        </w:pPr>
        <w:fldSimple w:instr="PAGE   \* MERGEFORMAT">
          <w:r w:rsidR="008670AE">
            <w:rPr>
              <w:noProof/>
            </w:rPr>
            <w:t>2</w:t>
          </w:r>
        </w:fldSimple>
      </w:p>
    </w:sdtContent>
  </w:sdt>
  <w:p w:rsidR="00906644" w:rsidRDefault="009066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367B0"/>
    <w:rsid w:val="00041C57"/>
    <w:rsid w:val="0004359D"/>
    <w:rsid w:val="00056753"/>
    <w:rsid w:val="0006127D"/>
    <w:rsid w:val="00064030"/>
    <w:rsid w:val="00064AAE"/>
    <w:rsid w:val="00077404"/>
    <w:rsid w:val="00077427"/>
    <w:rsid w:val="00092452"/>
    <w:rsid w:val="000A24AA"/>
    <w:rsid w:val="000A270B"/>
    <w:rsid w:val="000B5F87"/>
    <w:rsid w:val="000C1B59"/>
    <w:rsid w:val="000D6ADD"/>
    <w:rsid w:val="000E3EE3"/>
    <w:rsid w:val="00112BE9"/>
    <w:rsid w:val="00115B20"/>
    <w:rsid w:val="00122F59"/>
    <w:rsid w:val="001357A5"/>
    <w:rsid w:val="00144BAA"/>
    <w:rsid w:val="00146417"/>
    <w:rsid w:val="00166488"/>
    <w:rsid w:val="00183AE9"/>
    <w:rsid w:val="001B2C01"/>
    <w:rsid w:val="001D52C1"/>
    <w:rsid w:val="001E2208"/>
    <w:rsid w:val="001E27A7"/>
    <w:rsid w:val="001F1ED5"/>
    <w:rsid w:val="00212337"/>
    <w:rsid w:val="002158D9"/>
    <w:rsid w:val="00236AD9"/>
    <w:rsid w:val="00250870"/>
    <w:rsid w:val="00251D6A"/>
    <w:rsid w:val="00260C09"/>
    <w:rsid w:val="00272293"/>
    <w:rsid w:val="002B6763"/>
    <w:rsid w:val="002D49F2"/>
    <w:rsid w:val="002D7F6F"/>
    <w:rsid w:val="002E0CFE"/>
    <w:rsid w:val="002E1D48"/>
    <w:rsid w:val="002E51A8"/>
    <w:rsid w:val="00307FEA"/>
    <w:rsid w:val="00316C70"/>
    <w:rsid w:val="003172DE"/>
    <w:rsid w:val="00336268"/>
    <w:rsid w:val="003431D4"/>
    <w:rsid w:val="00354227"/>
    <w:rsid w:val="0038173E"/>
    <w:rsid w:val="00382084"/>
    <w:rsid w:val="003B3397"/>
    <w:rsid w:val="003C6DD6"/>
    <w:rsid w:val="003D5B9B"/>
    <w:rsid w:val="003F29D3"/>
    <w:rsid w:val="003F5E9B"/>
    <w:rsid w:val="004063F1"/>
    <w:rsid w:val="00410FCE"/>
    <w:rsid w:val="00412F96"/>
    <w:rsid w:val="00472CC8"/>
    <w:rsid w:val="00473FD8"/>
    <w:rsid w:val="00474ABC"/>
    <w:rsid w:val="004A199D"/>
    <w:rsid w:val="004A3159"/>
    <w:rsid w:val="004B0D39"/>
    <w:rsid w:val="004B10F9"/>
    <w:rsid w:val="004B4577"/>
    <w:rsid w:val="004C328E"/>
    <w:rsid w:val="004D18B3"/>
    <w:rsid w:val="004D259A"/>
    <w:rsid w:val="004F08B3"/>
    <w:rsid w:val="00504869"/>
    <w:rsid w:val="00514B82"/>
    <w:rsid w:val="00524342"/>
    <w:rsid w:val="00524F0E"/>
    <w:rsid w:val="00546E44"/>
    <w:rsid w:val="00556B2E"/>
    <w:rsid w:val="005841FF"/>
    <w:rsid w:val="0058697E"/>
    <w:rsid w:val="005A0B7D"/>
    <w:rsid w:val="005B0304"/>
    <w:rsid w:val="005B0F02"/>
    <w:rsid w:val="005D3C88"/>
    <w:rsid w:val="005F44B7"/>
    <w:rsid w:val="006011AD"/>
    <w:rsid w:val="00603792"/>
    <w:rsid w:val="00611E94"/>
    <w:rsid w:val="00613255"/>
    <w:rsid w:val="00623053"/>
    <w:rsid w:val="00624DE8"/>
    <w:rsid w:val="006465F3"/>
    <w:rsid w:val="006509B5"/>
    <w:rsid w:val="006520A2"/>
    <w:rsid w:val="00664138"/>
    <w:rsid w:val="00667E4C"/>
    <w:rsid w:val="00673ED9"/>
    <w:rsid w:val="00681992"/>
    <w:rsid w:val="00692AEE"/>
    <w:rsid w:val="006C3763"/>
    <w:rsid w:val="006D4A3D"/>
    <w:rsid w:val="006F32DC"/>
    <w:rsid w:val="00727180"/>
    <w:rsid w:val="0075687A"/>
    <w:rsid w:val="00761279"/>
    <w:rsid w:val="007870AC"/>
    <w:rsid w:val="00793F5E"/>
    <w:rsid w:val="007970C2"/>
    <w:rsid w:val="007A6286"/>
    <w:rsid w:val="007B0190"/>
    <w:rsid w:val="007D34F7"/>
    <w:rsid w:val="007D71E6"/>
    <w:rsid w:val="007E2724"/>
    <w:rsid w:val="007E7CA6"/>
    <w:rsid w:val="007F43D2"/>
    <w:rsid w:val="007F4A93"/>
    <w:rsid w:val="008151CC"/>
    <w:rsid w:val="00820272"/>
    <w:rsid w:val="00836EEB"/>
    <w:rsid w:val="00842528"/>
    <w:rsid w:val="00852D48"/>
    <w:rsid w:val="008670AE"/>
    <w:rsid w:val="00873B1B"/>
    <w:rsid w:val="0087543A"/>
    <w:rsid w:val="00885097"/>
    <w:rsid w:val="008A1F7D"/>
    <w:rsid w:val="008E0723"/>
    <w:rsid w:val="00906644"/>
    <w:rsid w:val="00907EF8"/>
    <w:rsid w:val="009109F4"/>
    <w:rsid w:val="00917EE4"/>
    <w:rsid w:val="00937C7C"/>
    <w:rsid w:val="00951316"/>
    <w:rsid w:val="00952918"/>
    <w:rsid w:val="00957D69"/>
    <w:rsid w:val="00967686"/>
    <w:rsid w:val="009677AC"/>
    <w:rsid w:val="0099424D"/>
    <w:rsid w:val="009A1661"/>
    <w:rsid w:val="009B3A69"/>
    <w:rsid w:val="009C0E24"/>
    <w:rsid w:val="009C7337"/>
    <w:rsid w:val="009C7D74"/>
    <w:rsid w:val="009D1254"/>
    <w:rsid w:val="009F6C18"/>
    <w:rsid w:val="00A1069F"/>
    <w:rsid w:val="00A12E34"/>
    <w:rsid w:val="00A16A0F"/>
    <w:rsid w:val="00A3001C"/>
    <w:rsid w:val="00A3645E"/>
    <w:rsid w:val="00A37A97"/>
    <w:rsid w:val="00A45F2F"/>
    <w:rsid w:val="00A671F1"/>
    <w:rsid w:val="00A7257E"/>
    <w:rsid w:val="00A740A6"/>
    <w:rsid w:val="00A867AB"/>
    <w:rsid w:val="00A9082C"/>
    <w:rsid w:val="00A96A14"/>
    <w:rsid w:val="00B03A4E"/>
    <w:rsid w:val="00B2066D"/>
    <w:rsid w:val="00B37ADC"/>
    <w:rsid w:val="00B56306"/>
    <w:rsid w:val="00B84764"/>
    <w:rsid w:val="00B87433"/>
    <w:rsid w:val="00B91C93"/>
    <w:rsid w:val="00BB1B74"/>
    <w:rsid w:val="00BD15AC"/>
    <w:rsid w:val="00BD3BCA"/>
    <w:rsid w:val="00BE4520"/>
    <w:rsid w:val="00BE6E5C"/>
    <w:rsid w:val="00BE7D9D"/>
    <w:rsid w:val="00BF39D6"/>
    <w:rsid w:val="00C2412D"/>
    <w:rsid w:val="00C2636E"/>
    <w:rsid w:val="00C27D5D"/>
    <w:rsid w:val="00C530B1"/>
    <w:rsid w:val="00C71D3B"/>
    <w:rsid w:val="00C81C1A"/>
    <w:rsid w:val="00C82D7F"/>
    <w:rsid w:val="00C8439E"/>
    <w:rsid w:val="00CA6797"/>
    <w:rsid w:val="00CC068F"/>
    <w:rsid w:val="00CC208C"/>
    <w:rsid w:val="00CD2A34"/>
    <w:rsid w:val="00CE468B"/>
    <w:rsid w:val="00D131BC"/>
    <w:rsid w:val="00D34691"/>
    <w:rsid w:val="00D42C9A"/>
    <w:rsid w:val="00D46780"/>
    <w:rsid w:val="00D56CC6"/>
    <w:rsid w:val="00D809C5"/>
    <w:rsid w:val="00D85F9A"/>
    <w:rsid w:val="00D85FC5"/>
    <w:rsid w:val="00DA2CB5"/>
    <w:rsid w:val="00DC0D7D"/>
    <w:rsid w:val="00DD1A63"/>
    <w:rsid w:val="00E023D3"/>
    <w:rsid w:val="00E0484D"/>
    <w:rsid w:val="00E13536"/>
    <w:rsid w:val="00E14C52"/>
    <w:rsid w:val="00E32379"/>
    <w:rsid w:val="00E35F19"/>
    <w:rsid w:val="00E52475"/>
    <w:rsid w:val="00E54C87"/>
    <w:rsid w:val="00E839F7"/>
    <w:rsid w:val="00E90037"/>
    <w:rsid w:val="00E97225"/>
    <w:rsid w:val="00EA30EF"/>
    <w:rsid w:val="00EC3D53"/>
    <w:rsid w:val="00ED18BC"/>
    <w:rsid w:val="00ED38B2"/>
    <w:rsid w:val="00EF328F"/>
    <w:rsid w:val="00EF49BF"/>
    <w:rsid w:val="00EF5C5A"/>
    <w:rsid w:val="00EF67A3"/>
    <w:rsid w:val="00EF7A65"/>
    <w:rsid w:val="00F2531D"/>
    <w:rsid w:val="00F51D09"/>
    <w:rsid w:val="00F578EF"/>
    <w:rsid w:val="00F60EC8"/>
    <w:rsid w:val="00F6130D"/>
    <w:rsid w:val="00F64046"/>
    <w:rsid w:val="00F65D58"/>
    <w:rsid w:val="00F7100C"/>
    <w:rsid w:val="00F72994"/>
    <w:rsid w:val="00F81A8F"/>
    <w:rsid w:val="00F84394"/>
    <w:rsid w:val="00F90D92"/>
    <w:rsid w:val="00FC1AFC"/>
    <w:rsid w:val="00FC398B"/>
    <w:rsid w:val="00FE3E83"/>
    <w:rsid w:val="00FF00B4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+mn-lt"/>
                <a:cs typeface="Times New Roman" pitchFamily="18" charset="0"/>
              </a:defRPr>
            </a:pPr>
            <a:r>
              <a:rPr lang="ru-RU">
                <a:latin typeface="+mn-lt"/>
                <a:cs typeface="Times New Roman" pitchFamily="18" charset="0"/>
              </a:rPr>
              <a:t>Количество</a:t>
            </a:r>
            <a:r>
              <a:rPr lang="ru-RU" baseline="0">
                <a:latin typeface="+mn-lt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>
                <a:latin typeface="+mn-lt"/>
                <a:cs typeface="Times New Roman" pitchFamily="18" charset="0"/>
              </a:rPr>
              <a:t> конкурентными способами определения поставщика (подрядчика,</a:t>
            </a:r>
            <a:r>
              <a:rPr lang="ru-RU" baseline="0">
                <a:latin typeface="+mn-lt"/>
                <a:cs typeface="Times New Roman" pitchFamily="18" charset="0"/>
              </a:rPr>
              <a:t> исполнителя)</a:t>
            </a:r>
            <a:endParaRPr lang="ru-RU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0833436896875152"/>
          <c:y val="2.5984054734285968E-2"/>
        </c:manualLayout>
      </c:layout>
    </c:title>
    <c:plotArea>
      <c:layout>
        <c:manualLayout>
          <c:layoutTarget val="inner"/>
          <c:xMode val="edge"/>
          <c:yMode val="edge"/>
          <c:x val="0.10049088681810457"/>
          <c:y val="0.28722553748578039"/>
          <c:w val="0.45002000368209377"/>
          <c:h val="0.6462272724384030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93,23%</a:t>
                    </a:r>
                    <a:endParaRPr lang="en-US" sz="800"/>
                  </a:p>
                </c:rich>
              </c:tx>
              <c:showVal val="1"/>
            </c:dLbl>
            <c:dLbl>
              <c:idx val="1"/>
              <c:layout>
                <c:manualLayout>
                  <c:x val="1.8011735785151521E-2"/>
                  <c:y val="0.1129832880731436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</a:t>
                    </a:r>
                    <a:r>
                      <a:rPr lang="ru-RU"/>
                      <a:t>,71%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4127129292974423E-2"/>
                  <c:y val="2.974282800631024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0,24%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7205866263884245E-2"/>
                  <c:y val="-3.3883616571221409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3,36%</a:t>
                    </a:r>
                    <a:endParaRPr lang="en-US" sz="800"/>
                  </a:p>
                </c:rich>
              </c:tx>
              <c:showVal val="1"/>
            </c:dLbl>
            <c:dLbl>
              <c:idx val="4"/>
              <c:layout>
                <c:manualLayout>
                  <c:x val="0.10434354345933401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0,07%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267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котировок в электронной форме</c:v>
                </c:pt>
                <c:pt idx="4">
                  <c:v>Запрос предложений в электронной форме</c:v>
                </c:pt>
                <c:pt idx="5">
                  <c:v>Открытый конкурс </c:v>
                </c:pt>
                <c:pt idx="6">
                  <c:v>Закупка у единственного поставщика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95</c:v>
                </c:pt>
                <c:pt idx="1">
                  <c:v>2</c:v>
                </c:pt>
                <c:pt idx="2">
                  <c:v>2</c:v>
                </c:pt>
                <c:pt idx="3">
                  <c:v>3.44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</a:t>
                    </a:r>
                    <a:r>
                      <a:rPr lang="en-US"/>
                      <a:t>170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2</a:t>
                    </a:r>
                    <a:r>
                      <a:rPr lang="en-US"/>
                      <a:t>26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3170</c:v>
                </c:pt>
                <c:pt idx="1">
                  <c:v>4126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</a:t>
                    </a:r>
                    <a:r>
                      <a:rPr lang="en-US"/>
                      <a:t>095,65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 115</a:t>
                    </a:r>
                    <a:r>
                      <a:rPr lang="en-US"/>
                      <a:t>,</a:t>
                    </a:r>
                    <a:r>
                      <a:rPr lang="ru-RU"/>
                      <a:t>26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2095.65</c:v>
                </c:pt>
                <c:pt idx="1">
                  <c:v>5031.3600000000024</c:v>
                </c:pt>
              </c:numCache>
            </c:numRef>
          </c:val>
        </c:ser>
        <c:axId val="81887232"/>
        <c:axId val="81906304"/>
      </c:barChart>
      <c:catAx>
        <c:axId val="818872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81906304"/>
        <c:crosses val="autoZero"/>
        <c:auto val="1"/>
        <c:lblAlgn val="ctr"/>
        <c:lblOffset val="100"/>
      </c:catAx>
      <c:valAx>
        <c:axId val="81906304"/>
        <c:scaling>
          <c:orientation val="minMax"/>
        </c:scaling>
        <c:axPos val="l"/>
        <c:majorGridlines/>
        <c:numFmt formatCode="General" sourceLinked="1"/>
        <c:tickLblPos val="nextTo"/>
        <c:crossAx val="8188723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  <a:r>
                      <a:rPr lang="ru-RU"/>
                      <a:t>26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4134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3426</c:v>
                </c:pt>
                <c:pt idx="1">
                  <c:v>4134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2034,14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ru-RU" baseline="0"/>
                      <a:t> 572,71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2034.1399999999999</c:v>
                </c:pt>
                <c:pt idx="1">
                  <c:v>4572.71</c:v>
                </c:pt>
              </c:numCache>
            </c:numRef>
          </c:val>
        </c:ser>
        <c:axId val="100252672"/>
        <c:axId val="100318592"/>
      </c:barChart>
      <c:catAx>
        <c:axId val="10025267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00318592"/>
        <c:crosses val="autoZero"/>
        <c:auto val="1"/>
        <c:lblAlgn val="ctr"/>
        <c:lblOffset val="100"/>
      </c:catAx>
      <c:valAx>
        <c:axId val="100318592"/>
        <c:scaling>
          <c:orientation val="minMax"/>
        </c:scaling>
        <c:axPos val="l"/>
        <c:majorGridlines/>
        <c:numFmt formatCode="General" sourceLinked="1"/>
        <c:tickLblPos val="nextTo"/>
        <c:crossAx val="10025267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бюджетных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201.97</c:v>
                </c:pt>
                <c:pt idx="1">
                  <c:v>226.48000000000013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2018 года</c:v>
                </c:pt>
                <c:pt idx="1">
                  <c:v>4 квартал 2019 года</c:v>
                </c:pt>
              </c:strCache>
            </c:strRef>
          </c:cat>
          <c:val>
            <c:numRef>
              <c:f>Лист1!$D$2:$D$3</c:f>
            </c:numRef>
          </c:val>
        </c:ser>
        <c:axId val="100651776"/>
        <c:axId val="100704640"/>
      </c:barChart>
      <c:catAx>
        <c:axId val="100651776"/>
        <c:scaling>
          <c:orientation val="minMax"/>
        </c:scaling>
        <c:axPos val="l"/>
        <c:tickLblPos val="nextTo"/>
        <c:crossAx val="100704640"/>
        <c:crosses val="autoZero"/>
        <c:auto val="1"/>
        <c:lblAlgn val="ctr"/>
        <c:lblOffset val="100"/>
      </c:catAx>
      <c:valAx>
        <c:axId val="100704640"/>
        <c:scaling>
          <c:orientation val="minMax"/>
        </c:scaling>
        <c:axPos val="b"/>
        <c:majorGridlines/>
        <c:numFmt formatCode="General" sourceLinked="1"/>
        <c:tickLblPos val="nextTo"/>
        <c:crossAx val="10065177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Объем размещенных извещений по уровням заказчиков Курской области</a:t>
            </a:r>
          </a:p>
        </c:rich>
      </c:tx>
    </c:title>
    <c:plotArea>
      <c:layout>
        <c:manualLayout>
          <c:layoutTarget val="inner"/>
          <c:xMode val="edge"/>
          <c:yMode val="edge"/>
          <c:x val="6.6726633129192248E-2"/>
          <c:y val="0.2129716238300402"/>
          <c:w val="0.38980041557305373"/>
          <c:h val="0.7870283761699599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извещений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.1111111111111111"/>
                  <c:y val="-7.1830396200474947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17,6</a:t>
                    </a:r>
                    <a:r>
                      <a:rPr lang="ru-RU" sz="1400"/>
                      <a:t> %</a:t>
                    </a:r>
                    <a:endParaRPr lang="en-US" sz="1400"/>
                  </a:p>
                </c:rich>
              </c:tx>
              <c:showVal val="1"/>
            </c:dLbl>
            <c:dLbl>
              <c:idx val="1"/>
              <c:layout>
                <c:manualLayout>
                  <c:x val="-0.10416666666666671"/>
                  <c:y val="5.9523809523809507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82,4</a:t>
                    </a:r>
                    <a:r>
                      <a:rPr lang="ru-RU" sz="1400"/>
                      <a:t> %</a:t>
                    </a:r>
                    <a:endParaRPr lang="en-US" sz="1400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Уровень субъекта</c:v>
                </c:pt>
                <c:pt idx="1">
                  <c:v>Муниципальный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17.600000000000001</c:v>
                </c:pt>
                <c:pt idx="1">
                  <c:v>82.4</c:v>
                </c:pt>
              </c:numCache>
            </c:numRef>
          </c:val>
        </c:ser>
        <c:firstSliceAng val="0"/>
        <c:holeSize val="50"/>
      </c:doughnutChart>
      <c:spPr>
        <a:scene3d>
          <a:camera prst="orthographicFront"/>
          <a:lightRig rig="threePt" dir="t"/>
        </a:scene3d>
        <a:sp3d>
          <a:bevelT w="165100" prst="coolSlant"/>
        </a:sp3d>
      </c:spPr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400"/>
              <a:t>Объем заключенных контрактов по уровням заказчиков Курской области</a:t>
            </a:r>
          </a:p>
        </c:rich>
      </c:tx>
    </c:title>
    <c:plotArea>
      <c:layout>
        <c:manualLayout>
          <c:layoutTarget val="inner"/>
          <c:xMode val="edge"/>
          <c:yMode val="edge"/>
          <c:x val="8.752734033245857E-2"/>
          <c:y val="0.2129716238300402"/>
          <c:w val="0.389800415573054"/>
          <c:h val="0.7870283761699599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извещений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.1111111111111111"/>
                  <c:y val="-7.1830396200474947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53,91 %</a:t>
                    </a:r>
                    <a:endParaRPr lang="en-US" sz="1400"/>
                  </a:p>
                </c:rich>
              </c:tx>
              <c:showVal val="1"/>
            </c:dLbl>
            <c:dLbl>
              <c:idx val="1"/>
              <c:layout>
                <c:manualLayout>
                  <c:x val="-5.6207349081364773E-2"/>
                  <c:y val="-0.24739424553062953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46,09 %</a:t>
                    </a:r>
                    <a:endParaRPr lang="en-US" sz="1400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Уровень субъекта</c:v>
                </c:pt>
                <c:pt idx="1">
                  <c:v>Муниципальный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53.91</c:v>
                </c:pt>
                <c:pt idx="1">
                  <c:v>46.09</c:v>
                </c:pt>
              </c:numCache>
            </c:numRef>
          </c:val>
        </c:ser>
        <c:firstSliceAng val="0"/>
        <c:holeSize val="50"/>
      </c:doughnutChart>
      <c:spPr>
        <a:scene3d>
          <a:camera prst="orthographicFront"/>
          <a:lightRig rig="threePt" dir="t"/>
        </a:scene3d>
        <a:sp3d>
          <a:bevelT prst="angle"/>
        </a:sp3d>
      </c:spPr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Экономия, полученная в 4 квартале 2019 года в разрезе национальных проектов</a:t>
            </a:r>
          </a:p>
        </c:rich>
      </c:tx>
      <c:layout>
        <c:manualLayout>
          <c:xMode val="edge"/>
          <c:yMode val="edge"/>
          <c:x val="0.10833436896875152"/>
          <c:y val="2.598405473428596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6.9356592465601918E-3"/>
                  <c:y val="-4.1288049176211898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8,13%</a:t>
                    </a:r>
                    <a:endParaRPr lang="en-US" sz="1000"/>
                  </a:p>
                </c:rich>
              </c:tx>
              <c:showVal val="1"/>
            </c:dLbl>
            <c:dLbl>
              <c:idx val="1"/>
              <c:layout>
                <c:manualLayout>
                  <c:x val="1.8011735785151521E-2"/>
                  <c:y val="0.112983288073143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1</a:t>
                    </a:r>
                    <a:r>
                      <a:rPr lang="ru-RU"/>
                      <a:t>6,37%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4127129292974426E-2"/>
                  <c:y val="2.9742828006310241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5</a:t>
                    </a:r>
                    <a:r>
                      <a:rPr lang="ru-RU"/>
                      <a:t>7,87%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1.0008486899477503E-2"/>
                  <c:y val="3.2364616206158486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2,52%</a:t>
                    </a:r>
                    <a:endParaRPr lang="en-US" sz="1000"/>
                  </a:p>
                </c:rich>
              </c:tx>
              <c:showVal val="1"/>
            </c:dLbl>
            <c:dLbl>
              <c:idx val="4"/>
              <c:layout>
                <c:manualLayout>
                  <c:x val="-1.3266755253327058E-3"/>
                  <c:y val="1.1381542084961761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1</a:t>
                    </a:r>
                    <a:r>
                      <a:rPr lang="ru-RU"/>
                      <a:t>5,1%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0</a:t>
                    </a:r>
                    <a:r>
                      <a:rPr lang="ru-RU"/>
                      <a:t>,03%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2739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2</a:t>
                    </a:r>
                    <a:r>
                      <a:rPr lang="ru-RU"/>
                      <a:t>,37%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Здравоохранение</c:v>
                </c:pt>
                <c:pt idx="1">
                  <c:v>Образование</c:v>
                </c:pt>
                <c:pt idx="2">
                  <c:v>Демография</c:v>
                </c:pt>
                <c:pt idx="3">
                  <c:v>Жилье и городская среда</c:v>
                </c:pt>
                <c:pt idx="4">
                  <c:v>Безопасные и качественные автомобильные дороги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8.1300000000000011E-2</c:v>
                </c:pt>
                <c:pt idx="1">
                  <c:v>0.16370000000000001</c:v>
                </c:pt>
                <c:pt idx="2">
                  <c:v>0.57870000000000033</c:v>
                </c:pt>
                <c:pt idx="3">
                  <c:v>2.5200000000000011E-2</c:v>
                </c:pt>
                <c:pt idx="4">
                  <c:v>0.15100000000000008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0.1441</cdr:x>
      <cdr:y>0.78976</cdr:y>
    </cdr:from>
    <cdr:to>
      <cdr:x>0.31076</cdr:x>
      <cdr:y>0.97736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0575" y="1993446"/>
          <a:ext cx="914400" cy="4735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1,3</a:t>
          </a:r>
          <a:r>
            <a:rPr lang="ru-RU" sz="1100" b="1" baseline="0"/>
            <a:t> </a:t>
          </a:r>
        </a:p>
        <a:p xmlns:a="http://schemas.openxmlformats.org/drawingml/2006/main">
          <a:pPr algn="ctr"/>
          <a:r>
            <a:rPr lang="ru-RU" sz="1100" b="1" baseline="0"/>
            <a:t>млрд. руб.</a:t>
          </a:r>
          <a:endParaRPr lang="ru-RU" sz="1100" b="1"/>
        </a:p>
      </cdr:txBody>
    </cdr:sp>
  </cdr:relSizeAnchor>
  <cdr:relSizeAnchor xmlns:cdr="http://schemas.openxmlformats.org/drawingml/2006/chartDrawing">
    <cdr:from>
      <cdr:x>0.24653</cdr:x>
      <cdr:y>0.25255</cdr:y>
    </cdr:from>
    <cdr:to>
      <cdr:x>0.41319</cdr:x>
      <cdr:y>0.42642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352550" y="637466"/>
          <a:ext cx="914400" cy="438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0,3 </a:t>
          </a:r>
        </a:p>
        <a:p xmlns:a="http://schemas.openxmlformats.org/drawingml/2006/main">
          <a:pPr algn="ctr"/>
          <a:r>
            <a:rPr lang="ru-RU" sz="1100" b="1"/>
            <a:t>млрд. руб.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0.06771</cdr:x>
      <cdr:y>0.45391</cdr:y>
    </cdr:from>
    <cdr:to>
      <cdr:x>0.23437</cdr:x>
      <cdr:y>0.64151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1475" y="1145728"/>
          <a:ext cx="914364" cy="4735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100" b="1" baseline="0"/>
            <a:t>1,2 </a:t>
          </a:r>
        </a:p>
        <a:p xmlns:a="http://schemas.openxmlformats.org/drawingml/2006/main">
          <a:pPr algn="ctr"/>
          <a:r>
            <a:rPr lang="ru-RU" sz="1100" b="1" baseline="0"/>
            <a:t>млрд. руб.</a:t>
          </a:r>
          <a:endParaRPr lang="ru-RU" sz="1100" b="1"/>
        </a:p>
      </cdr:txBody>
    </cdr:sp>
  </cdr:relSizeAnchor>
  <cdr:relSizeAnchor xmlns:cdr="http://schemas.openxmlformats.org/drawingml/2006/chartDrawing">
    <cdr:from>
      <cdr:x>0.31424</cdr:x>
      <cdr:y>0.58463</cdr:y>
    </cdr:from>
    <cdr:to>
      <cdr:x>0.4809</cdr:x>
      <cdr:y>0.7585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724037" y="1475668"/>
          <a:ext cx="914364" cy="438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1,5 </a:t>
          </a:r>
        </a:p>
        <a:p xmlns:a="http://schemas.openxmlformats.org/drawingml/2006/main">
          <a:pPr algn="ctr"/>
          <a:r>
            <a:rPr lang="ru-RU" sz="1100" b="1"/>
            <a:t>млрд. руб</a:t>
          </a:r>
          <a:r>
            <a:rPr lang="ru-RU" sz="1100"/>
            <a:t>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B11A-5C6E-4819-9402-494F65F3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9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MZAK1</cp:lastModifiedBy>
  <cp:revision>24</cp:revision>
  <cp:lastPrinted>2020-02-03T09:54:00Z</cp:lastPrinted>
  <dcterms:created xsi:type="dcterms:W3CDTF">2020-01-21T15:33:00Z</dcterms:created>
  <dcterms:modified xsi:type="dcterms:W3CDTF">2020-02-03T09:58:00Z</dcterms:modified>
</cp:coreProperties>
</file>